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1EA9F4A6" w14:textId="77777777" w:rsidTr="00911DDA">
        <w:trPr>
          <w:trHeight w:val="143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04359BF4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AF558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3234F" w14:textId="7147FF23" w:rsidR="008609DA" w:rsidRPr="0061591A" w:rsidRDefault="00F816BB" w:rsidP="00476E32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May </w:t>
                  </w:r>
                  <w:r w:rsidR="00D81D4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  <w:r w:rsidR="005B37BC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E6E95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51EA5" w14:textId="1123CFA0" w:rsidR="008609DA" w:rsidRPr="0061591A" w:rsidRDefault="00D81D41" w:rsidP="00E524D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</w:t>
                  </w:r>
                  <w:r w:rsidR="00AB3EEE">
                    <w:rPr>
                      <w:rFonts w:ascii="Arial" w:hAnsi="Arial" w:cs="Arial"/>
                      <w:sz w:val="20"/>
                      <w:szCs w:val="20"/>
                    </w:rPr>
                    <w:t>ne 26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406A22DC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C846F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150EB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3242F61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2372" w14:textId="77777777" w:rsidR="008609DA" w:rsidRPr="0094641D" w:rsidRDefault="008609DA" w:rsidP="005B37BC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497DF" w14:textId="77777777" w:rsidR="008609DA" w:rsidRPr="005B37BC" w:rsidRDefault="005B37BC" w:rsidP="005B37BC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yyyy/mm/dd]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[yyyy/mm/dd]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B37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DE8A7E7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173D6D3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E1BF0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A9EC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9772253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3D6C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986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14:paraId="213360FD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C9682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6B03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1C7B10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91B43FE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260C5040" w14:textId="70386182" w:rsidR="008609DA" w:rsidRPr="005A4A02" w:rsidRDefault="00BB0607" w:rsidP="00BB0607">
      <w:pPr>
        <w:keepNext/>
        <w:spacing w:after="240"/>
        <w:ind w:left="-630"/>
        <w:rPr>
          <w:rFonts w:ascii="Arial" w:hAnsi="Arial" w:cs="Arial"/>
          <w:b/>
          <w:sz w:val="20"/>
          <w:szCs w:val="20"/>
        </w:rPr>
      </w:pPr>
      <w:r w:rsidRPr="005A4A02">
        <w:rPr>
          <w:rFonts w:ascii="Arial" w:hAnsi="Arial" w:cs="Arial"/>
          <w:b/>
          <w:sz w:val="20"/>
          <w:szCs w:val="20"/>
        </w:rPr>
        <w:t xml:space="preserve">The AESO is seeking </w:t>
      </w:r>
      <w:r w:rsidR="00BB6F88">
        <w:rPr>
          <w:rFonts w:ascii="Arial" w:hAnsi="Arial" w:cs="Arial"/>
          <w:b/>
          <w:sz w:val="20"/>
          <w:szCs w:val="20"/>
        </w:rPr>
        <w:t xml:space="preserve">additional </w:t>
      </w:r>
      <w:r w:rsidRPr="005A4A02">
        <w:rPr>
          <w:rFonts w:ascii="Arial" w:hAnsi="Arial" w:cs="Arial"/>
          <w:b/>
          <w:sz w:val="20"/>
          <w:szCs w:val="20"/>
        </w:rPr>
        <w:t xml:space="preserve">comments from Stakeholders on the </w:t>
      </w:r>
      <w:r w:rsidR="003321A0">
        <w:rPr>
          <w:rFonts w:ascii="Arial" w:hAnsi="Arial" w:cs="Arial"/>
          <w:b/>
          <w:sz w:val="20"/>
          <w:szCs w:val="20"/>
        </w:rPr>
        <w:t>following topics</w:t>
      </w:r>
      <w:r w:rsidR="005A4A02" w:rsidRPr="005A4A02">
        <w:rPr>
          <w:rFonts w:ascii="Arial" w:hAnsi="Arial" w:cs="Arial"/>
          <w:b/>
          <w:sz w:val="20"/>
          <w:szCs w:val="20"/>
        </w:rPr>
        <w:t xml:space="preserve"> for the</w:t>
      </w:r>
      <w:r w:rsidR="003321A0">
        <w:rPr>
          <w:rFonts w:ascii="Arial" w:hAnsi="Arial" w:cs="Arial"/>
          <w:b/>
          <w:sz w:val="20"/>
          <w:szCs w:val="20"/>
        </w:rPr>
        <w:t xml:space="preserve"> proposed</w:t>
      </w:r>
      <w:r w:rsidR="005A4A02" w:rsidRPr="005A4A02">
        <w:rPr>
          <w:rFonts w:ascii="Arial" w:hAnsi="Arial" w:cs="Arial"/>
          <w:b/>
          <w:sz w:val="20"/>
          <w:szCs w:val="20"/>
        </w:rPr>
        <w:t xml:space="preserve"> </w:t>
      </w:r>
      <w:r w:rsidR="005A4A02" w:rsidRPr="003321A0">
        <w:rPr>
          <w:rFonts w:ascii="Arial" w:hAnsi="Arial" w:cs="Arial"/>
          <w:b/>
          <w:sz w:val="20"/>
          <w:szCs w:val="20"/>
        </w:rPr>
        <w:t>New</w:t>
      </w:r>
      <w:r w:rsidR="00225ABC" w:rsidRPr="003321A0">
        <w:rPr>
          <w:rFonts w:ascii="Arial" w:hAnsi="Arial" w:cs="Arial"/>
          <w:b/>
          <w:sz w:val="20"/>
          <w:szCs w:val="20"/>
        </w:rPr>
        <w:t xml:space="preserve"> Section </w:t>
      </w:r>
      <w:r w:rsidR="00E524D8" w:rsidRPr="003321A0">
        <w:rPr>
          <w:rFonts w:ascii="Arial" w:hAnsi="Arial" w:cs="Arial"/>
          <w:b/>
          <w:sz w:val="20"/>
          <w:szCs w:val="20"/>
        </w:rPr>
        <w:t>502.10</w:t>
      </w:r>
      <w:r w:rsidR="003321A0" w:rsidRPr="003321A0">
        <w:rPr>
          <w:rFonts w:ascii="Arial" w:hAnsi="Arial" w:cs="Arial"/>
          <w:b/>
          <w:sz w:val="20"/>
          <w:szCs w:val="20"/>
        </w:rPr>
        <w:t xml:space="preserve"> of the ISO rules</w:t>
      </w:r>
      <w:r w:rsidR="00225ABC" w:rsidRPr="003321A0">
        <w:rPr>
          <w:rFonts w:ascii="Arial" w:hAnsi="Arial" w:cs="Arial"/>
          <w:b/>
          <w:sz w:val="20"/>
          <w:szCs w:val="20"/>
        </w:rPr>
        <w:t>,</w:t>
      </w:r>
      <w:r w:rsidR="00225ABC" w:rsidRPr="005A4A02">
        <w:rPr>
          <w:rFonts w:ascii="Arial" w:hAnsi="Arial" w:cs="Arial"/>
          <w:b/>
          <w:i/>
          <w:sz w:val="20"/>
          <w:szCs w:val="20"/>
        </w:rPr>
        <w:t xml:space="preserve"> </w:t>
      </w:r>
      <w:r w:rsidR="00E524D8" w:rsidRPr="005A4A02">
        <w:rPr>
          <w:rFonts w:ascii="Arial" w:hAnsi="Arial" w:cs="Arial"/>
          <w:b/>
          <w:i/>
          <w:sz w:val="20"/>
          <w:szCs w:val="20"/>
        </w:rPr>
        <w:t>Revenue Metering Technical Requirements</w:t>
      </w:r>
      <w:r w:rsidR="0055154B">
        <w:rPr>
          <w:rFonts w:ascii="Arial" w:hAnsi="Arial" w:cs="Arial"/>
          <w:b/>
          <w:i/>
          <w:sz w:val="20"/>
          <w:szCs w:val="20"/>
        </w:rPr>
        <w:t xml:space="preserve"> </w:t>
      </w:r>
      <w:r w:rsidR="0055154B" w:rsidRPr="0055154B">
        <w:rPr>
          <w:rFonts w:ascii="Arial" w:hAnsi="Arial" w:cs="Arial"/>
          <w:b/>
          <w:sz w:val="20"/>
          <w:szCs w:val="20"/>
        </w:rPr>
        <w:t>(“Section 502.10”)</w:t>
      </w:r>
      <w:r w:rsidRPr="005A4A02">
        <w:rPr>
          <w:rFonts w:ascii="Arial" w:hAnsi="Arial" w:cs="Arial"/>
          <w:b/>
          <w:sz w:val="20"/>
          <w:szCs w:val="20"/>
        </w:rPr>
        <w:t>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4680"/>
        <w:gridCol w:w="7920"/>
      </w:tblGrid>
      <w:tr w:rsidR="00B37FC9" w:rsidRPr="00BC502D" w14:paraId="46DE631D" w14:textId="77777777" w:rsidTr="00F816BB">
        <w:tc>
          <w:tcPr>
            <w:tcW w:w="1980" w:type="dxa"/>
            <w:shd w:val="clear" w:color="auto" w:fill="365F91"/>
          </w:tcPr>
          <w:p w14:paraId="416F6D29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365F91"/>
          </w:tcPr>
          <w:p w14:paraId="6ABB836D" w14:textId="77777777" w:rsidR="00B37FC9" w:rsidRPr="00FB0955" w:rsidRDefault="00A57E46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7920" w:type="dxa"/>
            <w:shd w:val="clear" w:color="auto" w:fill="365F91"/>
          </w:tcPr>
          <w:p w14:paraId="36ADDC04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B37FC9" w:rsidRPr="00BC502D" w14:paraId="5D222FBF" w14:textId="77777777" w:rsidTr="00F816BB">
        <w:trPr>
          <w:trHeight w:val="864"/>
        </w:trPr>
        <w:tc>
          <w:tcPr>
            <w:tcW w:w="1980" w:type="dxa"/>
          </w:tcPr>
          <w:p w14:paraId="5C8D2B52" w14:textId="5A8C26CE" w:rsidR="00B37FC9" w:rsidRPr="00847D76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“revenue meter” Definition</w:t>
            </w:r>
          </w:p>
        </w:tc>
        <w:tc>
          <w:tcPr>
            <w:tcW w:w="4680" w:type="dxa"/>
            <w:shd w:val="clear" w:color="auto" w:fill="auto"/>
          </w:tcPr>
          <w:p w14:paraId="2C7FDDAD" w14:textId="6A89B621" w:rsidR="008A29E8" w:rsidRDefault="0024747F" w:rsidP="008A29E8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to the comments raised during the December 11, 2019  stakeholder session, as detailed in the meeting minutes posted on the AESO website, p</w:t>
            </w:r>
            <w:r w:rsidR="008A29E8">
              <w:rPr>
                <w:rFonts w:ascii="Arial" w:hAnsi="Arial" w:cs="Arial"/>
                <w:sz w:val="20"/>
                <w:szCs w:val="20"/>
              </w:rPr>
              <w:t xml:space="preserve">lease indicate any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8A29E8">
              <w:rPr>
                <w:rFonts w:ascii="Arial" w:hAnsi="Arial" w:cs="Arial"/>
                <w:sz w:val="20"/>
                <w:szCs w:val="20"/>
              </w:rPr>
              <w:t>concerns regarding the proposed defined term and definition “revenue meter” and provide suggested wording revisions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any physical components that should be included in the definition</w:t>
            </w:r>
            <w:r w:rsidR="008A29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C3D630" w14:textId="4067F6E3" w:rsidR="00FA7E20" w:rsidRPr="00847D76" w:rsidRDefault="008A29E8" w:rsidP="008A29E8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271E98">
              <w:rPr>
                <w:rFonts w:ascii="Arial" w:hAnsi="Arial" w:cs="Arial"/>
                <w:sz w:val="20"/>
                <w:szCs w:val="20"/>
              </w:rPr>
              <w:t>“</w:t>
            </w:r>
            <w:r w:rsidRPr="00306AD6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Pr="00271E98">
              <w:rPr>
                <w:rFonts w:ascii="Arial" w:hAnsi="Arial" w:cs="Arial"/>
                <w:sz w:val="20"/>
                <w:szCs w:val="20"/>
              </w:rPr>
              <w:t xml:space="preserve">” means the apparatus </w:t>
            </w:r>
            <w:r w:rsidRPr="00306AD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271E98">
              <w:rPr>
                <w:rFonts w:ascii="Arial" w:hAnsi="Arial" w:cs="Arial"/>
                <w:sz w:val="20"/>
                <w:szCs w:val="20"/>
              </w:rPr>
              <w:t xml:space="preserve">measures active energy </w:t>
            </w:r>
            <w:r w:rsidRPr="00306AD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271E98">
              <w:rPr>
                <w:rFonts w:ascii="Arial" w:hAnsi="Arial" w:cs="Arial"/>
                <w:sz w:val="20"/>
                <w:szCs w:val="20"/>
              </w:rPr>
              <w:t xml:space="preserve">reactive </w:t>
            </w:r>
            <w:r w:rsidRPr="00306AD6">
              <w:rPr>
                <w:rFonts w:ascii="Arial" w:hAnsi="Arial" w:cs="Arial"/>
                <w:sz w:val="20"/>
                <w:szCs w:val="20"/>
              </w:rPr>
              <w:t xml:space="preserve">energy at intervals defined by the </w:t>
            </w:r>
            <w:r w:rsidRPr="00306AD6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306AD6">
              <w:rPr>
                <w:rFonts w:ascii="Arial" w:hAnsi="Arial" w:cs="Arial"/>
                <w:sz w:val="20"/>
                <w:szCs w:val="20"/>
              </w:rPr>
              <w:t xml:space="preserve"> for the purpose of financial settlement with the </w:t>
            </w:r>
            <w:r w:rsidRPr="00306AD6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Pr="00306A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0" w:type="dxa"/>
            <w:shd w:val="clear" w:color="auto" w:fill="auto"/>
          </w:tcPr>
          <w:p w14:paraId="29FCAA68" w14:textId="77777777" w:rsidR="00B37FC9" w:rsidRPr="00BC502D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20" w:rsidRPr="00BC502D" w14:paraId="6747FB7D" w14:textId="77777777" w:rsidTr="00F816BB">
        <w:trPr>
          <w:trHeight w:val="638"/>
        </w:trPr>
        <w:tc>
          <w:tcPr>
            <w:tcW w:w="1980" w:type="dxa"/>
          </w:tcPr>
          <w:p w14:paraId="0B0EC715" w14:textId="2FD7F952" w:rsidR="00FA7E20" w:rsidRPr="00847D76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“revenue metering system” Definition</w:t>
            </w:r>
          </w:p>
        </w:tc>
        <w:tc>
          <w:tcPr>
            <w:tcW w:w="4680" w:type="dxa"/>
            <w:shd w:val="clear" w:color="auto" w:fill="auto"/>
          </w:tcPr>
          <w:p w14:paraId="527DD3E9" w14:textId="77777777" w:rsidR="00DF461B" w:rsidRDefault="00DF461B" w:rsidP="00DF461B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identify the components that should be included in the definition of “revenue metering system” beyond the components identified above for “revenue meter”.</w:t>
            </w:r>
          </w:p>
          <w:p w14:paraId="40376C15" w14:textId="77777777" w:rsidR="00DF461B" w:rsidRDefault="00DF461B" w:rsidP="00DF461B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Additionally, for each component indicated to be part of the “revenue metering system” please note the requirement in proposed new Section 502.10 that makes the component necessary.</w:t>
            </w:r>
          </w:p>
          <w:p w14:paraId="50F81E56" w14:textId="48FDFA72" w:rsidR="00FA7E20" w:rsidRDefault="00DF461B" w:rsidP="008A29E8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306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t>“</w:t>
            </w:r>
            <w:r w:rsidR="0024747F" w:rsidRPr="00306AD6">
              <w:rPr>
                <w:rFonts w:ascii="Arial" w:hAnsi="Arial" w:cs="Arial"/>
                <w:b/>
                <w:sz w:val="20"/>
                <w:szCs w:val="20"/>
              </w:rPr>
              <w:t>revenue metering system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t xml:space="preserve">” means the </w:t>
            </w:r>
            <w:r w:rsidR="0024747F" w:rsidRPr="00306AD6">
              <w:rPr>
                <w:rFonts w:ascii="Arial" w:hAnsi="Arial" w:cs="Arial"/>
                <w:b/>
                <w:sz w:val="20"/>
                <w:szCs w:val="20"/>
              </w:rPr>
              <w:t>metering equipment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t xml:space="preserve">, including the </w:t>
            </w:r>
            <w:r w:rsidR="0024747F" w:rsidRPr="00306AD6">
              <w:rPr>
                <w:rFonts w:ascii="Arial" w:hAnsi="Arial" w:cs="Arial"/>
                <w:b/>
                <w:sz w:val="20"/>
                <w:szCs w:val="20"/>
              </w:rPr>
              <w:t>revenue meter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t xml:space="preserve">, for acquisition, processing, delivery and 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lastRenderedPageBreak/>
              <w:t xml:space="preserve">storage of the interval data that is used for financial settlement with the </w:t>
            </w:r>
            <w:r w:rsidR="0024747F" w:rsidRPr="00306AD6">
              <w:rPr>
                <w:rFonts w:ascii="Arial" w:hAnsi="Arial" w:cs="Arial"/>
                <w:b/>
                <w:sz w:val="20"/>
                <w:szCs w:val="20"/>
              </w:rPr>
              <w:t>ISO</w:t>
            </w:r>
            <w:r w:rsidR="0024747F" w:rsidRPr="00306A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0" w:type="dxa"/>
            <w:shd w:val="clear" w:color="auto" w:fill="auto"/>
          </w:tcPr>
          <w:p w14:paraId="59B09B70" w14:textId="77777777" w:rsidR="00FA7E20" w:rsidRPr="00BC502D" w:rsidRDefault="00FA7E20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147" w:rsidRPr="00BC502D" w14:paraId="30E0C248" w14:textId="77777777" w:rsidTr="00F816BB">
        <w:trPr>
          <w:trHeight w:val="710"/>
        </w:trPr>
        <w:tc>
          <w:tcPr>
            <w:tcW w:w="1980" w:type="dxa"/>
            <w:vMerge w:val="restart"/>
          </w:tcPr>
          <w:p w14:paraId="038E95AC" w14:textId="29FDA017" w:rsidR="002B0147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Rental Meters</w:t>
            </w:r>
          </w:p>
        </w:tc>
        <w:tc>
          <w:tcPr>
            <w:tcW w:w="4680" w:type="dxa"/>
            <w:shd w:val="clear" w:color="auto" w:fill="auto"/>
          </w:tcPr>
          <w:p w14:paraId="10108E73" w14:textId="57FD3CE8" w:rsidR="002B0147" w:rsidRPr="0015400B" w:rsidRDefault="002B0147" w:rsidP="002B0147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Please describe the circumstances under which your business would choose to install rental meters.</w:t>
            </w:r>
          </w:p>
        </w:tc>
        <w:tc>
          <w:tcPr>
            <w:tcW w:w="7920" w:type="dxa"/>
            <w:shd w:val="clear" w:color="auto" w:fill="auto"/>
          </w:tcPr>
          <w:p w14:paraId="663596A2" w14:textId="77777777" w:rsidR="002B0147" w:rsidRDefault="002B01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147" w:rsidRPr="00BC502D" w14:paraId="5F8F4D94" w14:textId="77777777" w:rsidTr="00F816BB">
        <w:trPr>
          <w:trHeight w:val="864"/>
        </w:trPr>
        <w:tc>
          <w:tcPr>
            <w:tcW w:w="1980" w:type="dxa"/>
            <w:vMerge/>
          </w:tcPr>
          <w:p w14:paraId="61D7470E" w14:textId="77777777" w:rsidR="002B0147" w:rsidRDefault="002B0147" w:rsidP="002B0147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ACDDD06" w14:textId="4ACE57B3" w:rsidR="002B0147" w:rsidDel="00E01FED" w:rsidRDefault="002B0147" w:rsidP="002B0147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E01FED">
              <w:rPr>
                <w:rFonts w:ascii="Arial" w:hAnsi="Arial" w:cs="Arial"/>
                <w:sz w:val="20"/>
                <w:szCs w:val="20"/>
              </w:rPr>
              <w:t>Additionally, would any exceptions to the minimum technical requirements need to be considered in the proposed Section 502.10?</w:t>
            </w:r>
            <w:r>
              <w:rPr>
                <w:rFonts w:ascii="Arial" w:hAnsi="Arial" w:cs="Arial"/>
                <w:sz w:val="20"/>
                <w:szCs w:val="20"/>
              </w:rPr>
              <w:t xml:space="preserve"> If so, please detail and explain the impacts.</w:t>
            </w:r>
          </w:p>
        </w:tc>
        <w:tc>
          <w:tcPr>
            <w:tcW w:w="7920" w:type="dxa"/>
            <w:shd w:val="clear" w:color="auto" w:fill="auto"/>
          </w:tcPr>
          <w:p w14:paraId="66A4E919" w14:textId="77777777" w:rsidR="002B0147" w:rsidRDefault="002B01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147" w:rsidRPr="00BC502D" w14:paraId="629FC8A7" w14:textId="77777777" w:rsidTr="00F816BB">
        <w:trPr>
          <w:trHeight w:val="638"/>
        </w:trPr>
        <w:tc>
          <w:tcPr>
            <w:tcW w:w="1980" w:type="dxa"/>
            <w:vMerge w:val="restart"/>
          </w:tcPr>
          <w:p w14:paraId="4BBD11C0" w14:textId="68070870" w:rsidR="002B0147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Meters</w:t>
            </w:r>
          </w:p>
        </w:tc>
        <w:tc>
          <w:tcPr>
            <w:tcW w:w="4680" w:type="dxa"/>
            <w:shd w:val="clear" w:color="auto" w:fill="auto"/>
          </w:tcPr>
          <w:p w14:paraId="2F5ED608" w14:textId="4AF41EBE" w:rsidR="002B0147" w:rsidRDefault="002B0147" w:rsidP="002B0147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Please describe the </w:t>
            </w:r>
            <w:r w:rsidRPr="0015400B">
              <w:rPr>
                <w:rFonts w:ascii="Arial" w:hAnsi="Arial" w:cs="Arial"/>
                <w:sz w:val="20"/>
                <w:szCs w:val="20"/>
              </w:rPr>
              <w:t xml:space="preserve">circumstances </w:t>
            </w:r>
            <w:r>
              <w:rPr>
                <w:rFonts w:ascii="Arial" w:hAnsi="Arial" w:cs="Arial"/>
                <w:sz w:val="20"/>
                <w:szCs w:val="20"/>
              </w:rPr>
              <w:t>under which your business would</w:t>
            </w:r>
            <w:r w:rsidRPr="0015400B">
              <w:rPr>
                <w:rFonts w:ascii="Arial" w:hAnsi="Arial" w:cs="Arial"/>
                <w:sz w:val="20"/>
                <w:szCs w:val="20"/>
              </w:rPr>
              <w:t xml:space="preserve"> cho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5400B">
              <w:rPr>
                <w:rFonts w:ascii="Arial" w:hAnsi="Arial" w:cs="Arial"/>
                <w:sz w:val="20"/>
                <w:szCs w:val="20"/>
              </w:rPr>
              <w:t xml:space="preserve">se to install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5400B">
              <w:rPr>
                <w:rFonts w:ascii="Arial" w:hAnsi="Arial" w:cs="Arial"/>
                <w:sz w:val="20"/>
                <w:szCs w:val="20"/>
              </w:rPr>
              <w:t xml:space="preserve">back-up meter. </w:t>
            </w:r>
          </w:p>
        </w:tc>
        <w:tc>
          <w:tcPr>
            <w:tcW w:w="7920" w:type="dxa"/>
            <w:shd w:val="clear" w:color="auto" w:fill="auto"/>
          </w:tcPr>
          <w:p w14:paraId="6445BE3B" w14:textId="77777777" w:rsidR="002B0147" w:rsidRDefault="002B01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147" w:rsidRPr="00BC502D" w14:paraId="6252E3A5" w14:textId="77777777" w:rsidTr="00F816BB">
        <w:trPr>
          <w:trHeight w:val="864"/>
        </w:trPr>
        <w:tc>
          <w:tcPr>
            <w:tcW w:w="1980" w:type="dxa"/>
            <w:vMerge/>
          </w:tcPr>
          <w:p w14:paraId="61E12013" w14:textId="77777777" w:rsidR="002B0147" w:rsidRDefault="002B0147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4985465" w14:textId="3FC27D2F" w:rsidR="002B0147" w:rsidDel="0091298E" w:rsidRDefault="002B0147" w:rsidP="002B0147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Does your organization </w:t>
            </w:r>
            <w:r w:rsidRPr="0015400B">
              <w:rPr>
                <w:rFonts w:ascii="Arial" w:hAnsi="Arial" w:cs="Arial"/>
                <w:sz w:val="20"/>
                <w:szCs w:val="20"/>
              </w:rPr>
              <w:t>support the addition of requirements pertaining to backup meter installation in the proposed draft Section 502.10</w:t>
            </w:r>
            <w:r>
              <w:rPr>
                <w:rFonts w:ascii="Arial" w:hAnsi="Arial" w:cs="Arial"/>
                <w:sz w:val="20"/>
                <w:szCs w:val="20"/>
              </w:rPr>
              <w:t>? If so, detail the criteria needed.</w:t>
            </w:r>
          </w:p>
        </w:tc>
        <w:tc>
          <w:tcPr>
            <w:tcW w:w="7920" w:type="dxa"/>
            <w:shd w:val="clear" w:color="auto" w:fill="auto"/>
          </w:tcPr>
          <w:p w14:paraId="32EA51DA" w14:textId="77777777" w:rsidR="002B0147" w:rsidRDefault="002B01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147" w:rsidRPr="00BC502D" w14:paraId="1B7387CD" w14:textId="77777777" w:rsidTr="00F816BB">
        <w:trPr>
          <w:trHeight w:val="864"/>
        </w:trPr>
        <w:tc>
          <w:tcPr>
            <w:tcW w:w="1980" w:type="dxa"/>
            <w:vMerge/>
          </w:tcPr>
          <w:p w14:paraId="6A6C0032" w14:textId="77777777" w:rsidR="002B0147" w:rsidRDefault="002B0147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C507560" w14:textId="7357B337" w:rsidR="002B0147" w:rsidDel="0091298E" w:rsidRDefault="002B0147" w:rsidP="002B0147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Additionally, please provide the estimated installation and operating costs for a back-up meter as well as annual maintenance costs, if any.</w:t>
            </w:r>
          </w:p>
        </w:tc>
        <w:tc>
          <w:tcPr>
            <w:tcW w:w="7920" w:type="dxa"/>
            <w:shd w:val="clear" w:color="auto" w:fill="auto"/>
          </w:tcPr>
          <w:p w14:paraId="45B3BD57" w14:textId="77777777" w:rsidR="002B0147" w:rsidRDefault="002B0147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60F3" w:rsidRPr="00BC502D" w14:paraId="7A9EB079" w14:textId="77777777" w:rsidTr="00F816BB">
        <w:trPr>
          <w:trHeight w:val="566"/>
        </w:trPr>
        <w:tc>
          <w:tcPr>
            <w:tcW w:w="1980" w:type="dxa"/>
            <w:vMerge w:val="restart"/>
          </w:tcPr>
          <w:p w14:paraId="398A208B" w14:textId="172F9875" w:rsidR="009660F3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Shared </w:t>
            </w:r>
            <w:r w:rsidR="00336997">
              <w:rPr>
                <w:rFonts w:ascii="Arial" w:hAnsi="Arial" w:cs="Arial"/>
                <w:sz w:val="20"/>
                <w:szCs w:val="20"/>
              </w:rPr>
              <w:t>Current Transformers</w:t>
            </w:r>
          </w:p>
        </w:tc>
        <w:tc>
          <w:tcPr>
            <w:tcW w:w="4680" w:type="dxa"/>
            <w:shd w:val="clear" w:color="auto" w:fill="auto"/>
          </w:tcPr>
          <w:p w14:paraId="030F4CEA" w14:textId="049D49E0" w:rsidR="009660F3" w:rsidRPr="003321A0" w:rsidRDefault="009660F3" w:rsidP="00461405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24747F">
              <w:rPr>
                <w:rFonts w:ascii="Arial" w:hAnsi="Arial" w:cs="Arial"/>
                <w:sz w:val="20"/>
                <w:szCs w:val="20"/>
              </w:rPr>
              <w:t>Please indicate whether your organization has installed meters that share CTs. If so, how many</w:t>
            </w:r>
            <w:r w:rsidR="0046140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C612BF">
              <w:rPr>
                <w:rFonts w:ascii="Arial" w:hAnsi="Arial" w:cs="Arial"/>
                <w:sz w:val="20"/>
                <w:szCs w:val="20"/>
              </w:rPr>
              <w:t xml:space="preserve"> under what conditions?</w:t>
            </w:r>
          </w:p>
        </w:tc>
        <w:tc>
          <w:tcPr>
            <w:tcW w:w="7920" w:type="dxa"/>
            <w:shd w:val="clear" w:color="auto" w:fill="auto"/>
          </w:tcPr>
          <w:p w14:paraId="7D066D5E" w14:textId="77777777" w:rsidR="009660F3" w:rsidRDefault="009660F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60F3" w:rsidRPr="00BC502D" w14:paraId="45CBE8BF" w14:textId="77777777" w:rsidTr="00F816BB">
        <w:trPr>
          <w:trHeight w:val="674"/>
        </w:trPr>
        <w:tc>
          <w:tcPr>
            <w:tcW w:w="1980" w:type="dxa"/>
            <w:vMerge/>
          </w:tcPr>
          <w:p w14:paraId="18D82646" w14:textId="77777777" w:rsidR="009660F3" w:rsidRDefault="009660F3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740FC5C" w14:textId="2127C775" w:rsidR="009660F3" w:rsidRPr="0024747F" w:rsidRDefault="009660F3" w:rsidP="00C612BF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24747F">
              <w:rPr>
                <w:rFonts w:ascii="Arial" w:hAnsi="Arial" w:cs="Arial"/>
                <w:sz w:val="20"/>
                <w:szCs w:val="20"/>
              </w:rPr>
              <w:t xml:space="preserve">Have you experienced any issues with the meters that share CTs, such as increased meter </w:t>
            </w:r>
            <w:r w:rsidR="00C612BF">
              <w:rPr>
                <w:rFonts w:ascii="Arial" w:hAnsi="Arial" w:cs="Arial"/>
                <w:sz w:val="20"/>
                <w:szCs w:val="20"/>
              </w:rPr>
              <w:t>measurement</w:t>
            </w:r>
            <w:r w:rsidRPr="0024747F">
              <w:rPr>
                <w:rFonts w:ascii="Arial" w:hAnsi="Arial" w:cs="Arial"/>
                <w:sz w:val="20"/>
                <w:szCs w:val="20"/>
              </w:rPr>
              <w:t xml:space="preserve"> error? </w:t>
            </w:r>
          </w:p>
        </w:tc>
        <w:tc>
          <w:tcPr>
            <w:tcW w:w="7920" w:type="dxa"/>
            <w:shd w:val="clear" w:color="auto" w:fill="auto"/>
          </w:tcPr>
          <w:p w14:paraId="531E2059" w14:textId="77777777" w:rsidR="009660F3" w:rsidRDefault="009660F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60F3" w:rsidRPr="00BC502D" w14:paraId="46FB63CB" w14:textId="77777777" w:rsidTr="00F816BB">
        <w:trPr>
          <w:trHeight w:val="584"/>
        </w:trPr>
        <w:tc>
          <w:tcPr>
            <w:tcW w:w="1980" w:type="dxa"/>
            <w:vMerge/>
          </w:tcPr>
          <w:p w14:paraId="560EE7A6" w14:textId="77777777" w:rsidR="009660F3" w:rsidRDefault="009660F3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14D9B70E" w14:textId="04D9D698" w:rsidR="009660F3" w:rsidRPr="0024747F" w:rsidRDefault="009660F3" w:rsidP="009660F3">
            <w:pPr>
              <w:keepNext/>
              <w:spacing w:before="120" w:after="120"/>
              <w:ind w:left="245" w:right="15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24747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2474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organization </w:t>
            </w:r>
            <w:r w:rsidRPr="0024747F">
              <w:rPr>
                <w:rFonts w:ascii="Arial" w:hAnsi="Arial" w:cs="Arial"/>
                <w:sz w:val="20"/>
                <w:szCs w:val="20"/>
              </w:rPr>
              <w:t>think the proposed Section 502.10 should incorporate requirements regarding the sharing of CTs?</w:t>
            </w:r>
          </w:p>
        </w:tc>
        <w:tc>
          <w:tcPr>
            <w:tcW w:w="7920" w:type="dxa"/>
            <w:shd w:val="clear" w:color="auto" w:fill="auto"/>
          </w:tcPr>
          <w:p w14:paraId="7F504F33" w14:textId="77777777" w:rsidR="009660F3" w:rsidRDefault="009660F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60F3" w:rsidRPr="00BC502D" w14:paraId="5F9993A5" w14:textId="77777777" w:rsidTr="00F816BB">
        <w:trPr>
          <w:trHeight w:val="728"/>
        </w:trPr>
        <w:tc>
          <w:tcPr>
            <w:tcW w:w="1980" w:type="dxa"/>
            <w:vMerge w:val="restart"/>
          </w:tcPr>
          <w:p w14:paraId="34E5165B" w14:textId="2FA25E1D" w:rsidR="009660F3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MW Class Determination</w:t>
            </w:r>
          </w:p>
        </w:tc>
        <w:tc>
          <w:tcPr>
            <w:tcW w:w="4680" w:type="dxa"/>
            <w:shd w:val="clear" w:color="auto" w:fill="auto"/>
          </w:tcPr>
          <w:p w14:paraId="53977966" w14:textId="0E1B8602" w:rsidR="009660F3" w:rsidRPr="009660F3" w:rsidRDefault="00F31382" w:rsidP="009660F3">
            <w:pPr>
              <w:pStyle w:val="ListParagraph"/>
              <w:keepNext/>
              <w:numPr>
                <w:ilvl w:val="0"/>
                <w:numId w:val="20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MW class currently being calculated</w:t>
            </w:r>
            <w:r w:rsidRPr="00ED55D3">
              <w:rPr>
                <w:rFonts w:ascii="Arial" w:hAnsi="Arial" w:cs="Arial"/>
                <w:sz w:val="20"/>
                <w:szCs w:val="20"/>
              </w:rPr>
              <w:t xml:space="preserve"> for in-situ testing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0" w:type="dxa"/>
            <w:shd w:val="clear" w:color="auto" w:fill="auto"/>
          </w:tcPr>
          <w:p w14:paraId="75191DCF" w14:textId="77777777" w:rsidR="009660F3" w:rsidRDefault="009660F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60F3" w:rsidRPr="00BC502D" w14:paraId="078FC2EE" w14:textId="77777777" w:rsidTr="00F816BB">
        <w:trPr>
          <w:trHeight w:val="864"/>
        </w:trPr>
        <w:tc>
          <w:tcPr>
            <w:tcW w:w="1980" w:type="dxa"/>
            <w:vMerge/>
          </w:tcPr>
          <w:p w14:paraId="116E4F68" w14:textId="77777777" w:rsidR="009660F3" w:rsidRDefault="009660F3" w:rsidP="00847D76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560DEADD" w14:textId="50F0BE89" w:rsidR="009660F3" w:rsidRPr="00ED55D3" w:rsidRDefault="00F31382" w:rsidP="009660F3">
            <w:pPr>
              <w:pStyle w:val="ListParagraph"/>
              <w:keepNext/>
              <w:numPr>
                <w:ilvl w:val="0"/>
                <w:numId w:val="20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your organizations view on the following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EF7FE18" w14:textId="46D18ED2" w:rsidR="009660F3" w:rsidRDefault="00F31382" w:rsidP="009660F3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Section 502.10 set out a standard timeframe to be used for the data set used in the calculation of MW class. </w:t>
            </w:r>
            <w:r>
              <w:rPr>
                <w:rFonts w:ascii="Arial" w:hAnsi="Arial" w:cs="Arial"/>
                <w:sz w:val="20"/>
                <w:szCs w:val="20"/>
              </w:rPr>
              <w:t>For instance, s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>hould the AESO adopt a November to November timeframe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 Or does the month to month period selected not impact the data set</w:t>
            </w:r>
            <w:r w:rsidR="009660F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F8FBBE7" w14:textId="17F8758E" w:rsidR="003329F0" w:rsidRPr="00ED55D3" w:rsidRDefault="003329F0" w:rsidP="009660F3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standard timeframe is included in proposed Section 502.10 that does not align with your organizations current practices and systems please provide an estimate of the cost implications</w:t>
            </w:r>
            <w:r w:rsidR="00A3526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DBC871" w14:textId="618DECFE" w:rsidR="009660F3" w:rsidRDefault="00F31382" w:rsidP="009660F3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0</w:t>
            </w:r>
            <w:r w:rsidR="009660F3" w:rsidRPr="007F6700">
              <w:rPr>
                <w:rFonts w:ascii="Arial" w:hAnsi="Arial" w:cs="Arial"/>
                <w:sz w:val="20"/>
                <w:szCs w:val="20"/>
              </w:rPr>
              <w:t xml:space="preserve"> MW intervals be factored into the methodology</w:t>
            </w:r>
            <w:r w:rsidR="009660F3">
              <w:rPr>
                <w:rFonts w:ascii="Arial" w:hAnsi="Arial" w:cs="Arial"/>
                <w:sz w:val="20"/>
                <w:szCs w:val="20"/>
              </w:rPr>
              <w:t xml:space="preserve"> when determining MW class;</w:t>
            </w:r>
          </w:p>
          <w:p w14:paraId="1CA57C48" w14:textId="28202C65" w:rsidR="009660F3" w:rsidRPr="00ED55D3" w:rsidRDefault="00F31382" w:rsidP="009660F3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t</w:t>
            </w:r>
            <w:r w:rsidR="009660F3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be notification requirements for when a measurement point for a unit crosses the MW class threshold. </w:t>
            </w:r>
            <w:r w:rsidR="009660F3">
              <w:rPr>
                <w:rFonts w:ascii="Arial" w:hAnsi="Arial" w:cs="Arial"/>
                <w:sz w:val="20"/>
                <w:szCs w:val="20"/>
              </w:rPr>
              <w:t xml:space="preserve">Additionally, </w:t>
            </w:r>
            <w:r w:rsidRPr="00ED55D3">
              <w:rPr>
                <w:rFonts w:ascii="Arial" w:hAnsi="Arial" w:cs="Arial"/>
                <w:sz w:val="20"/>
                <w:szCs w:val="20"/>
              </w:rPr>
              <w:t>when should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ED55D3">
              <w:rPr>
                <w:rFonts w:ascii="Arial" w:hAnsi="Arial" w:cs="Arial"/>
                <w:sz w:val="20"/>
                <w:szCs w:val="20"/>
              </w:rPr>
              <w:t xml:space="preserve"> first </w:t>
            </w:r>
            <w:r>
              <w:rPr>
                <w:rFonts w:ascii="Arial" w:hAnsi="Arial" w:cs="Arial"/>
                <w:sz w:val="20"/>
                <w:szCs w:val="20"/>
              </w:rPr>
              <w:t xml:space="preserve">in-situ </w:t>
            </w:r>
            <w:r w:rsidRPr="00ED55D3">
              <w:rPr>
                <w:rFonts w:ascii="Arial" w:hAnsi="Arial" w:cs="Arial"/>
                <w:sz w:val="20"/>
                <w:szCs w:val="20"/>
              </w:rPr>
              <w:t xml:space="preserve">test be performed 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 w:rsidR="009660F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>MW class changes</w:t>
            </w:r>
            <w:r w:rsidR="009660F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9D98D8" w14:textId="2FB1DF41" w:rsidR="009660F3" w:rsidRDefault="00F31382" w:rsidP="009660F3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organization </w:t>
            </w:r>
            <w:r w:rsidR="009660F3">
              <w:rPr>
                <w:rFonts w:ascii="Arial" w:hAnsi="Arial" w:cs="Arial"/>
                <w:sz w:val="20"/>
                <w:szCs w:val="20"/>
              </w:rPr>
              <w:t>support the 2 and 4 year testing frequency requirements based on MW class; and</w:t>
            </w:r>
          </w:p>
          <w:p w14:paraId="4FE8F7FC" w14:textId="55CE90B6" w:rsidR="009660F3" w:rsidRPr="00ED55D3" w:rsidRDefault="00F31382" w:rsidP="00F31382">
            <w:pPr>
              <w:pStyle w:val="ListParagraph"/>
              <w:keepNext/>
              <w:numPr>
                <w:ilvl w:val="0"/>
                <w:numId w:val="19"/>
              </w:numPr>
              <w:spacing w:before="120" w:after="120"/>
              <w:ind w:right="158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>a meter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9660F3" w:rsidRPr="00ED55D3">
              <w:rPr>
                <w:rFonts w:ascii="Arial" w:hAnsi="Arial" w:cs="Arial"/>
                <w:sz w:val="20"/>
                <w:szCs w:val="20"/>
              </w:rPr>
              <w:t xml:space="preserve"> point with a higher impact on the grid when it is operational be tested more frequently or should it be based on the average throughout the year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20" w:type="dxa"/>
            <w:shd w:val="clear" w:color="auto" w:fill="auto"/>
          </w:tcPr>
          <w:p w14:paraId="377E6905" w14:textId="77777777" w:rsidR="009660F3" w:rsidRDefault="009660F3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4A9A" w:rsidRPr="00BC502D" w14:paraId="6E6500FD" w14:textId="77777777" w:rsidTr="00F816BB">
        <w:trPr>
          <w:trHeight w:val="864"/>
        </w:trPr>
        <w:tc>
          <w:tcPr>
            <w:tcW w:w="1980" w:type="dxa"/>
          </w:tcPr>
          <w:p w14:paraId="4019DA13" w14:textId="4B11825A" w:rsidR="00754A9A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In-situ Testing</w:t>
            </w:r>
          </w:p>
        </w:tc>
        <w:tc>
          <w:tcPr>
            <w:tcW w:w="4680" w:type="dxa"/>
            <w:shd w:val="clear" w:color="auto" w:fill="auto"/>
          </w:tcPr>
          <w:p w14:paraId="3ACFE6D7" w14:textId="21E60386" w:rsidR="00754A9A" w:rsidRDefault="00754A9A" w:rsidP="00754A9A">
            <w:pPr>
              <w:pStyle w:val="ListParagraph"/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754A9A">
              <w:rPr>
                <w:rFonts w:ascii="Arial" w:hAnsi="Arial" w:cs="Arial"/>
                <w:sz w:val="20"/>
                <w:szCs w:val="20"/>
              </w:rPr>
              <w:t>In performing in-situ test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754A9A">
              <w:rPr>
                <w:rFonts w:ascii="Arial" w:hAnsi="Arial" w:cs="Arial"/>
                <w:sz w:val="20"/>
                <w:szCs w:val="20"/>
              </w:rPr>
              <w:t xml:space="preserve"> at the commissioning stage, what should the “reasonable methods” be? Should the AESO be more </w:t>
            </w:r>
            <w:r>
              <w:rPr>
                <w:rFonts w:ascii="Arial" w:hAnsi="Arial" w:cs="Arial"/>
                <w:sz w:val="20"/>
                <w:szCs w:val="20"/>
              </w:rPr>
              <w:t>prescriptive</w:t>
            </w:r>
            <w:r w:rsidRPr="00754A9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20" w:type="dxa"/>
            <w:shd w:val="clear" w:color="auto" w:fill="auto"/>
          </w:tcPr>
          <w:p w14:paraId="54D79B13" w14:textId="77777777" w:rsidR="00754A9A" w:rsidRPr="00754A9A" w:rsidRDefault="00754A9A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A9A" w:rsidRPr="00BC502D" w14:paraId="722632C2" w14:textId="77777777" w:rsidTr="00F816BB">
        <w:trPr>
          <w:trHeight w:val="864"/>
        </w:trPr>
        <w:tc>
          <w:tcPr>
            <w:tcW w:w="1980" w:type="dxa"/>
          </w:tcPr>
          <w:p w14:paraId="08F5C321" w14:textId="79C2885D" w:rsidR="00754A9A" w:rsidRDefault="00F816BB" w:rsidP="00F816BB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 data errors</w:t>
            </w:r>
          </w:p>
        </w:tc>
        <w:tc>
          <w:tcPr>
            <w:tcW w:w="4680" w:type="dxa"/>
            <w:shd w:val="clear" w:color="auto" w:fill="auto"/>
          </w:tcPr>
          <w:p w14:paraId="574B7CD6" w14:textId="339D8360" w:rsidR="00754A9A" w:rsidRDefault="00754A9A" w:rsidP="00D50FAF">
            <w:pPr>
              <w:pStyle w:val="ListParagraph"/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 w:rsidRPr="00754A9A">
              <w:rPr>
                <w:rFonts w:ascii="Arial" w:hAnsi="Arial" w:cs="Arial"/>
                <w:sz w:val="20"/>
                <w:szCs w:val="20"/>
              </w:rPr>
              <w:t>In subsection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FAF">
              <w:rPr>
                <w:rFonts w:ascii="Arial" w:hAnsi="Arial" w:cs="Arial"/>
                <w:sz w:val="20"/>
                <w:szCs w:val="20"/>
              </w:rPr>
              <w:t>of proposed new Section 502.10</w:t>
            </w:r>
            <w:r w:rsidRPr="00754A9A">
              <w:rPr>
                <w:rFonts w:ascii="Arial" w:hAnsi="Arial" w:cs="Arial"/>
                <w:sz w:val="20"/>
                <w:szCs w:val="20"/>
              </w:rPr>
              <w:t xml:space="preserve">, should the AESO set a threshold for the </w:t>
            </w:r>
            <w:r w:rsidR="00E569E2">
              <w:rPr>
                <w:rFonts w:ascii="Arial" w:hAnsi="Arial" w:cs="Arial"/>
                <w:sz w:val="20"/>
                <w:szCs w:val="20"/>
              </w:rPr>
              <w:t xml:space="preserve">measurement data </w:t>
            </w:r>
            <w:r w:rsidRPr="00754A9A">
              <w:rPr>
                <w:rFonts w:ascii="Arial" w:hAnsi="Arial" w:cs="Arial"/>
                <w:sz w:val="20"/>
                <w:szCs w:val="20"/>
              </w:rPr>
              <w:t>error?</w:t>
            </w:r>
          </w:p>
        </w:tc>
        <w:tc>
          <w:tcPr>
            <w:tcW w:w="7920" w:type="dxa"/>
            <w:shd w:val="clear" w:color="auto" w:fill="auto"/>
          </w:tcPr>
          <w:p w14:paraId="06011242" w14:textId="77777777" w:rsidR="00754A9A" w:rsidRPr="00754A9A" w:rsidRDefault="00754A9A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75A" w:rsidRPr="00BC502D" w14:paraId="01ECF31C" w14:textId="77777777" w:rsidTr="00C738E6">
        <w:trPr>
          <w:trHeight w:val="864"/>
        </w:trPr>
        <w:tc>
          <w:tcPr>
            <w:tcW w:w="6660" w:type="dxa"/>
            <w:gridSpan w:val="2"/>
          </w:tcPr>
          <w:p w14:paraId="1798FBC6" w14:textId="55E55561" w:rsidR="0040375A" w:rsidRPr="00754A9A" w:rsidRDefault="0040375A" w:rsidP="0040375A">
            <w:pPr>
              <w:keepNext/>
              <w:numPr>
                <w:ilvl w:val="0"/>
                <w:numId w:val="13"/>
              </w:numPr>
              <w:spacing w:before="120" w:after="120"/>
              <w:ind w:left="245" w:right="65" w:hanging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other comments regarding the proposed new Section 502.10?</w:t>
            </w:r>
          </w:p>
        </w:tc>
        <w:tc>
          <w:tcPr>
            <w:tcW w:w="7920" w:type="dxa"/>
            <w:shd w:val="clear" w:color="auto" w:fill="auto"/>
          </w:tcPr>
          <w:p w14:paraId="62FF9466" w14:textId="77777777" w:rsidR="0040375A" w:rsidRPr="00754A9A" w:rsidRDefault="0040375A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B1912E" w14:textId="77777777" w:rsidR="009C334C" w:rsidRDefault="009C334C" w:rsidP="00297F48">
      <w:pPr>
        <w:ind w:left="-630"/>
        <w:rPr>
          <w:rFonts w:ascii="Arial" w:hAnsi="Arial" w:cs="Arial"/>
          <w:sz w:val="20"/>
          <w:szCs w:val="20"/>
        </w:rPr>
      </w:pPr>
    </w:p>
    <w:sectPr w:rsidR="009C334C" w:rsidSect="00060FF1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900" w:footer="5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725B" w14:textId="77777777" w:rsidR="00054934" w:rsidRDefault="00054934" w:rsidP="00E77EC5">
      <w:r>
        <w:separator/>
      </w:r>
    </w:p>
  </w:endnote>
  <w:endnote w:type="continuationSeparator" w:id="0">
    <w:p w14:paraId="47E59E44" w14:textId="77777777" w:rsidR="00054934" w:rsidRDefault="00054934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B956" w14:textId="363F20F1" w:rsidR="002755AE" w:rsidRPr="003A4463" w:rsidRDefault="003A4463" w:rsidP="003A4463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 Comment</w:t>
    </w:r>
    <w:r w:rsidRPr="00BC502D">
      <w:rPr>
        <w:rFonts w:ascii="Arial" w:hAnsi="Arial" w:cs="Arial"/>
        <w:sz w:val="18"/>
        <w:szCs w:val="18"/>
      </w:rPr>
      <w:t xml:space="preserve">: </w:t>
    </w:r>
    <w:r w:rsidR="00C53FB0">
      <w:rPr>
        <w:rFonts w:ascii="Arial" w:hAnsi="Arial" w:cs="Arial"/>
        <w:sz w:val="18"/>
        <w:szCs w:val="18"/>
      </w:rPr>
      <w:t xml:space="preserve">May </w:t>
    </w:r>
    <w:r w:rsidR="00D81D41">
      <w:rPr>
        <w:rFonts w:ascii="Arial" w:hAnsi="Arial" w:cs="Arial"/>
        <w:sz w:val="18"/>
        <w:szCs w:val="18"/>
      </w:rPr>
      <w:t>21</w:t>
    </w:r>
    <w:r w:rsidR="0015400B">
      <w:rPr>
        <w:rFonts w:ascii="Arial" w:hAnsi="Arial" w:cs="Arial"/>
        <w:sz w:val="18"/>
        <w:szCs w:val="18"/>
      </w:rPr>
      <w:t>, 2020</w:t>
    </w:r>
    <w:r>
      <w:rPr>
        <w:rFonts w:ascii="Arial" w:hAnsi="Arial" w:cs="Arial"/>
        <w:sz w:val="18"/>
        <w:szCs w:val="18"/>
      </w:rPr>
      <w:tab/>
    </w:r>
    <w:r w:rsidRPr="00BC502D">
      <w:rPr>
        <w:rFonts w:ascii="Arial" w:hAnsi="Arial" w:cs="Arial"/>
        <w:sz w:val="18"/>
        <w:szCs w:val="18"/>
      </w:rPr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E5DEC">
      <w:rPr>
        <w:rFonts w:ascii="Arial" w:hAnsi="Arial" w:cs="Arial"/>
        <w:noProof/>
        <w:sz w:val="18"/>
        <w:szCs w:val="18"/>
      </w:rPr>
      <w:t>4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E5DEC">
      <w:rPr>
        <w:rFonts w:ascii="Arial" w:hAnsi="Arial" w:cs="Arial"/>
        <w:noProof/>
        <w:sz w:val="18"/>
        <w:szCs w:val="18"/>
      </w:rPr>
      <w:t>4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30D5" w14:textId="7089FA42" w:rsidR="002755AE" w:rsidRDefault="002755AE" w:rsidP="00225ABC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C53FB0">
      <w:rPr>
        <w:rFonts w:ascii="Arial" w:hAnsi="Arial" w:cs="Arial"/>
        <w:sz w:val="18"/>
        <w:szCs w:val="18"/>
      </w:rPr>
      <w:t xml:space="preserve">May </w:t>
    </w:r>
    <w:r w:rsidR="00D81D41">
      <w:rPr>
        <w:rFonts w:ascii="Arial" w:hAnsi="Arial" w:cs="Arial"/>
        <w:sz w:val="18"/>
        <w:szCs w:val="18"/>
      </w:rPr>
      <w:t>21</w:t>
    </w:r>
    <w:r w:rsidR="00D25CB6">
      <w:rPr>
        <w:rFonts w:ascii="Arial" w:hAnsi="Arial" w:cs="Arial"/>
        <w:sz w:val="18"/>
        <w:szCs w:val="18"/>
      </w:rPr>
      <w:t>, 2020</w:t>
    </w:r>
    <w:r w:rsidR="00225ABC">
      <w:rPr>
        <w:rFonts w:ascii="Arial" w:hAnsi="Arial" w:cs="Arial"/>
        <w:sz w:val="18"/>
        <w:szCs w:val="18"/>
      </w:rPr>
      <w:tab/>
    </w:r>
    <w:r w:rsidRPr="00BC502D">
      <w:rPr>
        <w:rFonts w:ascii="Arial" w:hAnsi="Arial" w:cs="Arial"/>
        <w:sz w:val="18"/>
        <w:szCs w:val="18"/>
      </w:rPr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E5DEC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E5DEC">
      <w:rPr>
        <w:rFonts w:ascii="Arial" w:hAnsi="Arial" w:cs="Arial"/>
        <w:noProof/>
        <w:sz w:val="18"/>
        <w:szCs w:val="18"/>
      </w:rPr>
      <w:t>4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  <w:p w14:paraId="02FA1155" w14:textId="77777777" w:rsidR="00E524D8" w:rsidRPr="00F6503C" w:rsidRDefault="00E524D8" w:rsidP="00E524D8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6E19" w14:textId="77777777" w:rsidR="00054934" w:rsidRDefault="00054934" w:rsidP="00E77EC5">
      <w:r>
        <w:separator/>
      </w:r>
    </w:p>
  </w:footnote>
  <w:footnote w:type="continuationSeparator" w:id="0">
    <w:p w14:paraId="7B5027DC" w14:textId="77777777" w:rsidR="00054934" w:rsidRDefault="00054934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C519" w14:textId="70951147" w:rsidR="002755AE" w:rsidRDefault="006E2BE2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30020B93" wp14:editId="68ADDA1A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5982C7F7" wp14:editId="78E4AAFB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42295" w14:textId="77777777" w:rsidR="002755AE" w:rsidRDefault="002755AE" w:rsidP="00BD7A7B">
    <w:pPr>
      <w:pStyle w:val="Header"/>
      <w:jc w:val="right"/>
    </w:pPr>
  </w:p>
  <w:p w14:paraId="1ACF6115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77A8" w14:textId="488944EB" w:rsidR="00225ABC" w:rsidRPr="00AF58DD" w:rsidRDefault="006E2BE2" w:rsidP="002B29AD">
    <w:pPr>
      <w:keepNext/>
      <w:ind w:left="-180" w:right="-900"/>
      <w:rPr>
        <w:rFonts w:ascii="Arial" w:hAnsi="Arial" w:cs="Arial"/>
        <w:b/>
        <w:color w:val="1F497D"/>
        <w:szCs w:val="20"/>
      </w:rPr>
    </w:pPr>
    <w:r>
      <w:rPr>
        <w:noProof/>
        <w:color w:val="1F497D"/>
      </w:rPr>
      <w:drawing>
        <wp:anchor distT="0" distB="0" distL="114300" distR="114300" simplePos="0" relativeHeight="251658752" behindDoc="1" locked="0" layoutInCell="1" allowOverlap="1" wp14:anchorId="093E261A" wp14:editId="2208D969">
          <wp:simplePos x="0" y="0"/>
          <wp:positionH relativeFrom="page">
            <wp:posOffset>-12065</wp:posOffset>
          </wp:positionH>
          <wp:positionV relativeFrom="page">
            <wp:posOffset>127000</wp:posOffset>
          </wp:positionV>
          <wp:extent cx="10058400" cy="1255395"/>
          <wp:effectExtent l="0" t="0" r="0" b="190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834" w:rsidRPr="00AF58DD">
      <w:rPr>
        <w:rFonts w:ascii="Arial" w:hAnsi="Arial" w:cs="Arial"/>
        <w:b/>
        <w:color w:val="1F497D"/>
        <w:szCs w:val="20"/>
      </w:rPr>
      <w:t xml:space="preserve">Stakeholder </w:t>
    </w:r>
    <w:r w:rsidR="002755AE" w:rsidRPr="00AF58DD">
      <w:rPr>
        <w:rFonts w:ascii="Arial" w:hAnsi="Arial" w:cs="Arial"/>
        <w:b/>
        <w:color w:val="1F497D"/>
        <w:szCs w:val="20"/>
      </w:rPr>
      <w:t xml:space="preserve">Comment </w:t>
    </w:r>
    <w:r w:rsidR="00180BF7" w:rsidRPr="00AF58DD">
      <w:rPr>
        <w:rFonts w:ascii="Arial" w:hAnsi="Arial" w:cs="Arial"/>
        <w:b/>
        <w:color w:val="1F497D"/>
        <w:szCs w:val="20"/>
      </w:rPr>
      <w:t>Matrix</w:t>
    </w:r>
  </w:p>
  <w:p w14:paraId="32955129" w14:textId="2A025997" w:rsidR="002755AE" w:rsidRPr="002B29AD" w:rsidRDefault="00BB6F88" w:rsidP="008C78A9">
    <w:pPr>
      <w:pStyle w:val="Header"/>
      <w:ind w:left="-180" w:right="2520"/>
      <w:rPr>
        <w:rFonts w:ascii="Arial" w:hAnsi="Arial" w:cs="Arial"/>
        <w:b/>
        <w:bCs/>
        <w:i/>
        <w:color w:val="1F497D"/>
        <w:szCs w:val="20"/>
      </w:rPr>
    </w:pPr>
    <w:r>
      <w:rPr>
        <w:rFonts w:ascii="Arial" w:hAnsi="Arial" w:cs="Arial"/>
        <w:b/>
        <w:color w:val="1F497D"/>
        <w:szCs w:val="20"/>
      </w:rPr>
      <w:t>Additional Feedback</w:t>
    </w:r>
    <w:r w:rsidR="00060FF1" w:rsidRPr="00060FF1">
      <w:rPr>
        <w:rFonts w:ascii="Arial" w:hAnsi="Arial" w:cs="Arial"/>
        <w:b/>
        <w:color w:val="1F497D"/>
        <w:szCs w:val="20"/>
      </w:rPr>
      <w:t xml:space="preserve"> for</w:t>
    </w:r>
    <w:r>
      <w:rPr>
        <w:rFonts w:ascii="Arial" w:hAnsi="Arial" w:cs="Arial"/>
        <w:b/>
        <w:color w:val="1F497D"/>
        <w:szCs w:val="20"/>
      </w:rPr>
      <w:t xml:space="preserve"> </w:t>
    </w:r>
    <w:r w:rsidR="00060FF1" w:rsidRPr="00060FF1">
      <w:rPr>
        <w:rFonts w:ascii="Arial" w:hAnsi="Arial" w:cs="Arial"/>
        <w:b/>
        <w:color w:val="1F497D"/>
        <w:szCs w:val="20"/>
      </w:rPr>
      <w:t>New</w:t>
    </w:r>
    <w:r w:rsidR="00225ABC" w:rsidRPr="00AF58DD">
      <w:rPr>
        <w:rFonts w:ascii="Arial" w:hAnsi="Arial" w:cs="Arial"/>
        <w:b/>
        <w:color w:val="1F497D"/>
        <w:szCs w:val="20"/>
      </w:rPr>
      <w:t xml:space="preserve"> Section 502.1</w:t>
    </w:r>
    <w:r w:rsidR="00E524D8" w:rsidRPr="00AF58DD">
      <w:rPr>
        <w:rFonts w:ascii="Arial" w:hAnsi="Arial" w:cs="Arial"/>
        <w:b/>
        <w:color w:val="1F497D"/>
        <w:szCs w:val="20"/>
      </w:rPr>
      <w:t>0</w:t>
    </w:r>
    <w:r w:rsidR="00225ABC" w:rsidRPr="00AF58DD">
      <w:rPr>
        <w:rFonts w:ascii="Arial" w:hAnsi="Arial" w:cs="Arial"/>
        <w:b/>
        <w:color w:val="1F497D"/>
        <w:szCs w:val="20"/>
      </w:rPr>
      <w:t xml:space="preserve">, </w:t>
    </w:r>
    <w:r w:rsidR="00E524D8" w:rsidRPr="00AF58DD">
      <w:rPr>
        <w:rFonts w:ascii="Arial" w:hAnsi="Arial" w:cs="Arial"/>
        <w:b/>
        <w:i/>
        <w:color w:val="1F497D"/>
        <w:szCs w:val="20"/>
      </w:rPr>
      <w:t>Revenue Metering Technical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D44"/>
    <w:multiLevelType w:val="hybridMultilevel"/>
    <w:tmpl w:val="70388CE6"/>
    <w:lvl w:ilvl="0" w:tplc="F1284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B15"/>
    <w:multiLevelType w:val="hybridMultilevel"/>
    <w:tmpl w:val="6E588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25653"/>
    <w:multiLevelType w:val="hybridMultilevel"/>
    <w:tmpl w:val="1D163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6261"/>
    <w:multiLevelType w:val="hybridMultilevel"/>
    <w:tmpl w:val="E6D6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21E2942"/>
    <w:multiLevelType w:val="hybridMultilevel"/>
    <w:tmpl w:val="1D3E5D4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5"/>
  </w:num>
  <w:num w:numId="6">
    <w:abstractNumId w:val="19"/>
  </w:num>
  <w:num w:numId="7">
    <w:abstractNumId w:val="17"/>
  </w:num>
  <w:num w:numId="8">
    <w:abstractNumId w:val="1"/>
  </w:num>
  <w:num w:numId="9">
    <w:abstractNumId w:val="16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  <w:num w:numId="16">
    <w:abstractNumId w:val="20"/>
  </w:num>
  <w:num w:numId="17">
    <w:abstractNumId w:val="0"/>
  </w:num>
  <w:num w:numId="18">
    <w:abstractNumId w:val="8"/>
  </w:num>
  <w:num w:numId="19">
    <w:abstractNumId w:val="1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137"/>
    <w:rsid w:val="00047A85"/>
    <w:rsid w:val="00054934"/>
    <w:rsid w:val="00057762"/>
    <w:rsid w:val="00057AC9"/>
    <w:rsid w:val="00057B10"/>
    <w:rsid w:val="00060FF1"/>
    <w:rsid w:val="00071469"/>
    <w:rsid w:val="0007208F"/>
    <w:rsid w:val="00081C84"/>
    <w:rsid w:val="00091BE3"/>
    <w:rsid w:val="00092E04"/>
    <w:rsid w:val="00095961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0EBC"/>
    <w:rsid w:val="001229E8"/>
    <w:rsid w:val="00122F3A"/>
    <w:rsid w:val="00123E16"/>
    <w:rsid w:val="00132D00"/>
    <w:rsid w:val="00133EF6"/>
    <w:rsid w:val="00137536"/>
    <w:rsid w:val="00147FEF"/>
    <w:rsid w:val="0015400B"/>
    <w:rsid w:val="00160738"/>
    <w:rsid w:val="001631F0"/>
    <w:rsid w:val="00164E6F"/>
    <w:rsid w:val="001724F8"/>
    <w:rsid w:val="00180BF7"/>
    <w:rsid w:val="00183D00"/>
    <w:rsid w:val="00185DC3"/>
    <w:rsid w:val="001900E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25ABC"/>
    <w:rsid w:val="00232B12"/>
    <w:rsid w:val="0024747F"/>
    <w:rsid w:val="002576EB"/>
    <w:rsid w:val="00262462"/>
    <w:rsid w:val="00264D21"/>
    <w:rsid w:val="002678DD"/>
    <w:rsid w:val="00271E98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0147"/>
    <w:rsid w:val="002B29AD"/>
    <w:rsid w:val="002B2EAD"/>
    <w:rsid w:val="002B3C2E"/>
    <w:rsid w:val="002B563C"/>
    <w:rsid w:val="002B6BC5"/>
    <w:rsid w:val="002B7303"/>
    <w:rsid w:val="002D261B"/>
    <w:rsid w:val="002D5EE7"/>
    <w:rsid w:val="002E670E"/>
    <w:rsid w:val="002F1B98"/>
    <w:rsid w:val="002F6E69"/>
    <w:rsid w:val="002F7225"/>
    <w:rsid w:val="002F7CB0"/>
    <w:rsid w:val="0030108A"/>
    <w:rsid w:val="0030154F"/>
    <w:rsid w:val="00315175"/>
    <w:rsid w:val="0031543C"/>
    <w:rsid w:val="003302A7"/>
    <w:rsid w:val="003321A0"/>
    <w:rsid w:val="003329F0"/>
    <w:rsid w:val="00334FDA"/>
    <w:rsid w:val="00336997"/>
    <w:rsid w:val="00343B3D"/>
    <w:rsid w:val="00344963"/>
    <w:rsid w:val="00344B62"/>
    <w:rsid w:val="00345614"/>
    <w:rsid w:val="00347CEC"/>
    <w:rsid w:val="00351C46"/>
    <w:rsid w:val="003528B4"/>
    <w:rsid w:val="00357C83"/>
    <w:rsid w:val="003677DA"/>
    <w:rsid w:val="00375707"/>
    <w:rsid w:val="0038533C"/>
    <w:rsid w:val="00385898"/>
    <w:rsid w:val="00387F74"/>
    <w:rsid w:val="00396ECA"/>
    <w:rsid w:val="003A0E02"/>
    <w:rsid w:val="003A4463"/>
    <w:rsid w:val="003A5674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0999"/>
    <w:rsid w:val="003E5DEC"/>
    <w:rsid w:val="003E5F08"/>
    <w:rsid w:val="003E656F"/>
    <w:rsid w:val="003F4AF6"/>
    <w:rsid w:val="003F5FBD"/>
    <w:rsid w:val="004017E2"/>
    <w:rsid w:val="0040375A"/>
    <w:rsid w:val="00404023"/>
    <w:rsid w:val="00404A87"/>
    <w:rsid w:val="004058BC"/>
    <w:rsid w:val="00407688"/>
    <w:rsid w:val="00420437"/>
    <w:rsid w:val="004214BB"/>
    <w:rsid w:val="00426FF0"/>
    <w:rsid w:val="00430387"/>
    <w:rsid w:val="00433B5B"/>
    <w:rsid w:val="00444A72"/>
    <w:rsid w:val="00447116"/>
    <w:rsid w:val="00452C90"/>
    <w:rsid w:val="004562D8"/>
    <w:rsid w:val="00461405"/>
    <w:rsid w:val="00461454"/>
    <w:rsid w:val="00471FF7"/>
    <w:rsid w:val="00476E32"/>
    <w:rsid w:val="00481472"/>
    <w:rsid w:val="00487638"/>
    <w:rsid w:val="00491AB2"/>
    <w:rsid w:val="0049268A"/>
    <w:rsid w:val="00493A02"/>
    <w:rsid w:val="00493CF2"/>
    <w:rsid w:val="004960CB"/>
    <w:rsid w:val="004B336C"/>
    <w:rsid w:val="004B4914"/>
    <w:rsid w:val="004C1E5F"/>
    <w:rsid w:val="004C650B"/>
    <w:rsid w:val="004D0BCE"/>
    <w:rsid w:val="004D31C9"/>
    <w:rsid w:val="004F0234"/>
    <w:rsid w:val="005020ED"/>
    <w:rsid w:val="005021C6"/>
    <w:rsid w:val="00503E0C"/>
    <w:rsid w:val="00510A06"/>
    <w:rsid w:val="0051450C"/>
    <w:rsid w:val="0052168F"/>
    <w:rsid w:val="00522BC5"/>
    <w:rsid w:val="00531565"/>
    <w:rsid w:val="00535AAA"/>
    <w:rsid w:val="00535B2C"/>
    <w:rsid w:val="00537B28"/>
    <w:rsid w:val="00547D12"/>
    <w:rsid w:val="00547EAE"/>
    <w:rsid w:val="00550B13"/>
    <w:rsid w:val="0055154B"/>
    <w:rsid w:val="00553588"/>
    <w:rsid w:val="005565D3"/>
    <w:rsid w:val="00560121"/>
    <w:rsid w:val="005610C7"/>
    <w:rsid w:val="00562632"/>
    <w:rsid w:val="0056526A"/>
    <w:rsid w:val="005653E7"/>
    <w:rsid w:val="00567DF6"/>
    <w:rsid w:val="00570A94"/>
    <w:rsid w:val="00572063"/>
    <w:rsid w:val="00577920"/>
    <w:rsid w:val="005824AA"/>
    <w:rsid w:val="005836D7"/>
    <w:rsid w:val="00587DC7"/>
    <w:rsid w:val="005A17A8"/>
    <w:rsid w:val="005A27D2"/>
    <w:rsid w:val="005A3930"/>
    <w:rsid w:val="005A4A02"/>
    <w:rsid w:val="005A7E4D"/>
    <w:rsid w:val="005B37BC"/>
    <w:rsid w:val="005E401A"/>
    <w:rsid w:val="005E4F2B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707FC"/>
    <w:rsid w:val="00673B09"/>
    <w:rsid w:val="006740DC"/>
    <w:rsid w:val="00677E30"/>
    <w:rsid w:val="006804FD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2BE2"/>
    <w:rsid w:val="006E4CD4"/>
    <w:rsid w:val="006E61E9"/>
    <w:rsid w:val="006E6D71"/>
    <w:rsid w:val="006F04D3"/>
    <w:rsid w:val="006F6763"/>
    <w:rsid w:val="007027C3"/>
    <w:rsid w:val="00703959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4A9A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D6192"/>
    <w:rsid w:val="007E20B6"/>
    <w:rsid w:val="007E3BC5"/>
    <w:rsid w:val="007F4941"/>
    <w:rsid w:val="007F5024"/>
    <w:rsid w:val="007F5F2F"/>
    <w:rsid w:val="007F6700"/>
    <w:rsid w:val="008025D2"/>
    <w:rsid w:val="008067A8"/>
    <w:rsid w:val="00806CCE"/>
    <w:rsid w:val="00806E0A"/>
    <w:rsid w:val="00811ED1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7CE5"/>
    <w:rsid w:val="008747EE"/>
    <w:rsid w:val="00884FF6"/>
    <w:rsid w:val="008A08B7"/>
    <w:rsid w:val="008A1DEA"/>
    <w:rsid w:val="008A29E8"/>
    <w:rsid w:val="008A6055"/>
    <w:rsid w:val="008B55D0"/>
    <w:rsid w:val="008B7E2B"/>
    <w:rsid w:val="008C2BD4"/>
    <w:rsid w:val="008C5501"/>
    <w:rsid w:val="008C78A9"/>
    <w:rsid w:val="008C78C6"/>
    <w:rsid w:val="008D3878"/>
    <w:rsid w:val="008E1EA9"/>
    <w:rsid w:val="008E29DD"/>
    <w:rsid w:val="008F08F5"/>
    <w:rsid w:val="008F1D39"/>
    <w:rsid w:val="008F6924"/>
    <w:rsid w:val="00901607"/>
    <w:rsid w:val="009028E4"/>
    <w:rsid w:val="00911DDA"/>
    <w:rsid w:val="0091298E"/>
    <w:rsid w:val="00921B61"/>
    <w:rsid w:val="00922282"/>
    <w:rsid w:val="009362A2"/>
    <w:rsid w:val="00950D4E"/>
    <w:rsid w:val="0095265D"/>
    <w:rsid w:val="009625CF"/>
    <w:rsid w:val="00965834"/>
    <w:rsid w:val="009660F3"/>
    <w:rsid w:val="00967D2F"/>
    <w:rsid w:val="0097666D"/>
    <w:rsid w:val="009803C0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C334C"/>
    <w:rsid w:val="009D04FD"/>
    <w:rsid w:val="009D6CD0"/>
    <w:rsid w:val="009E4745"/>
    <w:rsid w:val="009E7E40"/>
    <w:rsid w:val="00A01000"/>
    <w:rsid w:val="00A051AF"/>
    <w:rsid w:val="00A06F0D"/>
    <w:rsid w:val="00A24F86"/>
    <w:rsid w:val="00A32302"/>
    <w:rsid w:val="00A32C95"/>
    <w:rsid w:val="00A35268"/>
    <w:rsid w:val="00A35324"/>
    <w:rsid w:val="00A359ED"/>
    <w:rsid w:val="00A42073"/>
    <w:rsid w:val="00A457DE"/>
    <w:rsid w:val="00A5095E"/>
    <w:rsid w:val="00A57A88"/>
    <w:rsid w:val="00A57E46"/>
    <w:rsid w:val="00A64353"/>
    <w:rsid w:val="00A674AC"/>
    <w:rsid w:val="00A7577C"/>
    <w:rsid w:val="00A82AB6"/>
    <w:rsid w:val="00A84D7E"/>
    <w:rsid w:val="00A87202"/>
    <w:rsid w:val="00AA136E"/>
    <w:rsid w:val="00AA2418"/>
    <w:rsid w:val="00AA3378"/>
    <w:rsid w:val="00AA4573"/>
    <w:rsid w:val="00AA7E05"/>
    <w:rsid w:val="00AB3EEE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8DD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5223A"/>
    <w:rsid w:val="00B621E6"/>
    <w:rsid w:val="00B62675"/>
    <w:rsid w:val="00B71125"/>
    <w:rsid w:val="00B717CF"/>
    <w:rsid w:val="00B7385C"/>
    <w:rsid w:val="00B749D9"/>
    <w:rsid w:val="00B75B0C"/>
    <w:rsid w:val="00B83357"/>
    <w:rsid w:val="00B8598B"/>
    <w:rsid w:val="00B87A46"/>
    <w:rsid w:val="00BA65FC"/>
    <w:rsid w:val="00BB0607"/>
    <w:rsid w:val="00BB19E2"/>
    <w:rsid w:val="00BB22B2"/>
    <w:rsid w:val="00BB5F08"/>
    <w:rsid w:val="00BB6F88"/>
    <w:rsid w:val="00BC39E2"/>
    <w:rsid w:val="00BC502D"/>
    <w:rsid w:val="00BC66A2"/>
    <w:rsid w:val="00BC7E87"/>
    <w:rsid w:val="00BD2B3F"/>
    <w:rsid w:val="00BD7A7B"/>
    <w:rsid w:val="00BE6537"/>
    <w:rsid w:val="00BE7E3B"/>
    <w:rsid w:val="00BF4C9B"/>
    <w:rsid w:val="00C1579D"/>
    <w:rsid w:val="00C27ABB"/>
    <w:rsid w:val="00C345B7"/>
    <w:rsid w:val="00C34B7C"/>
    <w:rsid w:val="00C42290"/>
    <w:rsid w:val="00C43A29"/>
    <w:rsid w:val="00C53FB0"/>
    <w:rsid w:val="00C6023B"/>
    <w:rsid w:val="00C60D5F"/>
    <w:rsid w:val="00C612BF"/>
    <w:rsid w:val="00C737E5"/>
    <w:rsid w:val="00C75A8A"/>
    <w:rsid w:val="00C76D6A"/>
    <w:rsid w:val="00C85BFF"/>
    <w:rsid w:val="00CA5296"/>
    <w:rsid w:val="00CB5BA6"/>
    <w:rsid w:val="00CB6826"/>
    <w:rsid w:val="00CC60A6"/>
    <w:rsid w:val="00CE00FB"/>
    <w:rsid w:val="00CE64C9"/>
    <w:rsid w:val="00CF0113"/>
    <w:rsid w:val="00CF3106"/>
    <w:rsid w:val="00CF4525"/>
    <w:rsid w:val="00D032CF"/>
    <w:rsid w:val="00D07332"/>
    <w:rsid w:val="00D10B21"/>
    <w:rsid w:val="00D15DA5"/>
    <w:rsid w:val="00D25CB6"/>
    <w:rsid w:val="00D362EB"/>
    <w:rsid w:val="00D44EDF"/>
    <w:rsid w:val="00D50FAF"/>
    <w:rsid w:val="00D527AB"/>
    <w:rsid w:val="00D73D63"/>
    <w:rsid w:val="00D7482A"/>
    <w:rsid w:val="00D757E9"/>
    <w:rsid w:val="00D80BE1"/>
    <w:rsid w:val="00D81D41"/>
    <w:rsid w:val="00D95485"/>
    <w:rsid w:val="00D975A5"/>
    <w:rsid w:val="00DA2ACC"/>
    <w:rsid w:val="00DA357A"/>
    <w:rsid w:val="00DB29AB"/>
    <w:rsid w:val="00DC68E9"/>
    <w:rsid w:val="00DD06B3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DF461B"/>
    <w:rsid w:val="00E04D95"/>
    <w:rsid w:val="00E13386"/>
    <w:rsid w:val="00E15BD4"/>
    <w:rsid w:val="00E26E54"/>
    <w:rsid w:val="00E4142D"/>
    <w:rsid w:val="00E44D8B"/>
    <w:rsid w:val="00E524D8"/>
    <w:rsid w:val="00E530DF"/>
    <w:rsid w:val="00E569E2"/>
    <w:rsid w:val="00E64825"/>
    <w:rsid w:val="00E74D37"/>
    <w:rsid w:val="00E77EC5"/>
    <w:rsid w:val="00E84770"/>
    <w:rsid w:val="00E96B5F"/>
    <w:rsid w:val="00EA1E21"/>
    <w:rsid w:val="00EA637B"/>
    <w:rsid w:val="00EC7DD1"/>
    <w:rsid w:val="00ED55D3"/>
    <w:rsid w:val="00EE05B4"/>
    <w:rsid w:val="00EE176F"/>
    <w:rsid w:val="00EF165F"/>
    <w:rsid w:val="00F255D4"/>
    <w:rsid w:val="00F259A9"/>
    <w:rsid w:val="00F308D8"/>
    <w:rsid w:val="00F31382"/>
    <w:rsid w:val="00F32E4B"/>
    <w:rsid w:val="00F35FFD"/>
    <w:rsid w:val="00F3732D"/>
    <w:rsid w:val="00F426F5"/>
    <w:rsid w:val="00F504A2"/>
    <w:rsid w:val="00F57B10"/>
    <w:rsid w:val="00F60CC1"/>
    <w:rsid w:val="00F60CE3"/>
    <w:rsid w:val="00F63B9B"/>
    <w:rsid w:val="00F6503C"/>
    <w:rsid w:val="00F6537A"/>
    <w:rsid w:val="00F67456"/>
    <w:rsid w:val="00F757F2"/>
    <w:rsid w:val="00F76875"/>
    <w:rsid w:val="00F816BB"/>
    <w:rsid w:val="00F8383B"/>
    <w:rsid w:val="00F83BB4"/>
    <w:rsid w:val="00F93154"/>
    <w:rsid w:val="00F93B0A"/>
    <w:rsid w:val="00FA160A"/>
    <w:rsid w:val="00FA7E20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3708B1D"/>
  <w15:docId w15:val="{21CAEE62-A8F7-4D1C-9238-195576DF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TaxCatchAll xmlns="bfc2574c-8110-4e43-9784-1ee86de75c6c">
      <Value>1322</Value>
      <Value>1531</Value>
      <Value>1348</Value>
      <Value>1</Value>
      <Value>1323</Value>
    </TaxCatchAll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Requirement_x0020_Count xmlns="bfc2574c-8110-4e43-9784-1ee86de75c6c" xsi:nil="true"/>
    <Activity_x0020_Complete_x0020_Date xmlns="bfc2574c-8110-4e43-9784-1ee86de75c6c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Standards ＆ Modeling</TermName>
          <TermId xmlns="http://schemas.microsoft.com/office/infopath/2007/PartnerControls">07004592-56d3-4391-b10b-48cddcba8282</TermId>
        </TermInfo>
      </Terms>
    </n920abf613194d45b14af8191f159b16>
    <LARA_x0020_Status xmlns="bfc2574c-8110-4e43-9784-1ee86de75c6c">Active</LARA_x0020_Status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Protected</TermName>
          <TermId xmlns="http://schemas.microsoft.com/office/infopath/2007/PartnerControls">67c4d7a0-4f5b-44e1-8816-0d4e4f2129b8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 xsi:nil="true"/>
    <CWRMItemRecordCategory xmlns="650fffc6-a86a-4844-afad-966e4497fd3d" xsi:nil="true"/>
    <CWRMItemRecordState xmlns="650fffc6-a86a-4844-afad-966e4497fd3d" xsi:nil="true"/>
    <CWRMItemRecordDeclaredDate xmlns="650fffc6-a86a-4844-afad-966e4497fd3d" xsi:nil="true"/>
    <CWRMItemRecordVital xmlns="650fffc6-a86a-4844-afad-966e4497fd3d">false</CWRMItemRecordVital>
    <CWRMItemRecordStatus xmlns="650fffc6-a86a-4844-afad-966e4497fd3d" xsi:nil="true"/>
    <CWRMItemUniqueId xmlns="650fffc6-a86a-4844-afad-966e4497fd3d">000000FKAO</CWRMItemUniqueId>
    <_dlc_DocId xmlns="bfc2574c-8110-4e43-9784-1ee86de75c6c">000000FKAO</_dlc_DocId>
    <_dlc_DocIdUrl xmlns="bfc2574c-8110-4e43-9784-1ee86de75c6c">
      <Url>https://share.aeso.ca/sites/records-law/LARA/_layouts/15/DocIdRedir.aspx?ID=000000FKAO</Url>
      <Description>000000FKAO</Description>
    </_dlc_DocIdUrl>
  </documentManagement>
</p:properties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cfb8a92369274964c2f52491d35453a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9607f87a2ef46f9d6d47367201b3bcc9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taxonomyMulti="true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9C88-BE58-498B-9717-373D62F2D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D882E-BC34-4C9B-8FF5-B4AB93F348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D1F0EC-EAF8-42D6-9989-8C245C91F2D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650fffc6-a86a-4844-afad-966e4497fd3d"/>
    <ds:schemaRef ds:uri="http://schemas.openxmlformats.org/package/2006/metadata/core-properties"/>
    <ds:schemaRef ds:uri="bfc2574c-8110-4e43-9784-1ee86de75c6c"/>
  </ds:schemaRefs>
</ds:datastoreItem>
</file>

<file path=customXml/itemProps4.xml><?xml version="1.0" encoding="utf-8"?>
<ds:datastoreItem xmlns:ds="http://schemas.openxmlformats.org/officeDocument/2006/customXml" ds:itemID="{1570BD04-1E82-4529-A176-053E73B46A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7FF2F4-B56B-437A-9288-3A08BC9F74F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4DCEF18-92A5-448F-A9D0-ED0AEA01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3C4FE5E-D6C5-42E7-8A08-72654FC9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Electric System Operator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Gray</dc:creator>
  <cp:lastModifiedBy>Alison Desmarais</cp:lastModifiedBy>
  <cp:revision>10</cp:revision>
  <dcterms:created xsi:type="dcterms:W3CDTF">2020-05-04T18:34:00Z</dcterms:created>
  <dcterms:modified xsi:type="dcterms:W3CDTF">2020-05-21T17:07:00Z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ocumentSetDescription">
    <vt:lpwstr/>
  </property>
  <property fmtid="{D5CDD505-2E9C-101B-9397-08002B2CF9AE}" pid="4" name="Confidentiality Classification">
    <vt:lpwstr>1;#AESO Protected|67c4d7a0-4f5b-44e1-8816-0d4e4f2129b8</vt:lpwstr>
  </property>
  <property fmtid="{D5CDD505-2E9C-101B-9397-08002B2CF9AE}" pid="5" name="Related IDs">
    <vt:lpwstr/>
  </property>
  <property fmtid="{D5CDD505-2E9C-101B-9397-08002B2CF9AE}" pid="6" name="Division">
    <vt:lpwstr>1531;#Grid Standards ＆ Modeling|07004592-56d3-4391-b10b-48cddcba8282</vt:lpwstr>
  </property>
  <property fmtid="{D5CDD505-2E9C-101B-9397-08002B2CF9AE}" pid="7" name="CWRMItemRecordClassification">
    <vt:lpwstr>1322;#REG-01 - Rules Development|d8c07a69-2ac5-4b34-96d7-e1add9f5d27b</vt:lpwstr>
  </property>
  <property fmtid="{D5CDD505-2E9C-101B-9397-08002B2CF9AE}" pid="8" name="Business Unit(s)">
    <vt:lpwstr>1323;#Grid Reliability|c79dbef9-a04b-4c5e-a1aa-4ea49adf6489</vt:lpwstr>
  </property>
  <property fmtid="{D5CDD505-2E9C-101B-9397-08002B2CF9AE}" pid="9" name="LARA Category0">
    <vt:lpwstr>1348;#Stakeholder Engagement|6220e8f1-840d-40ad-b65f-2194c8e12464</vt:lpwstr>
  </property>
  <property fmtid="{D5CDD505-2E9C-101B-9397-08002B2CF9AE}" pid="10" name="_docset_NoMedatataSyncRequired">
    <vt:lpwstr>False</vt:lpwstr>
  </property>
  <property fmtid="{D5CDD505-2E9C-101B-9397-08002B2CF9AE}" pid="11" name="_dlc_DocIdItemGuid">
    <vt:lpwstr>74b4fe6b-e16b-41e7-aa17-bca6fe4b91b7</vt:lpwstr>
  </property>
</Properties>
</file>