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8609DA" w:rsidRPr="00BC502D" w14:paraId="3DE9764C" w14:textId="77777777" w:rsidTr="00230FD4"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8"/>
              <w:gridCol w:w="2496"/>
              <w:gridCol w:w="877"/>
              <w:gridCol w:w="3000"/>
            </w:tblGrid>
            <w:tr w:rsidR="008609DA" w:rsidRPr="0061591A" w14:paraId="0EF9549B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4EA7A" w14:textId="77777777" w:rsidR="008609DA" w:rsidRPr="0094641D" w:rsidRDefault="008609DA" w:rsidP="004E7EA4">
                  <w:pPr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3F374" w14:textId="17E1D436" w:rsidR="008609DA" w:rsidRPr="0061591A" w:rsidRDefault="004E7EA4" w:rsidP="004E7EA4">
                  <w:pPr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August 6,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F9EA1" w14:textId="77777777" w:rsidR="008609DA" w:rsidRPr="0061591A" w:rsidRDefault="008609DA" w:rsidP="004E7EA4">
                  <w:pPr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55922" w14:textId="3D03D6C2" w:rsidR="008609DA" w:rsidRPr="0061591A" w:rsidRDefault="004E7EA4" w:rsidP="004E7EA4">
                  <w:pPr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August 21, 2020</w:t>
                  </w:r>
                </w:p>
              </w:tc>
            </w:tr>
            <w:tr w:rsidR="008609DA" w:rsidRPr="0061591A" w14:paraId="2868FBDB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F7D54" w14:textId="77777777" w:rsidR="008609DA" w:rsidRPr="0094641D" w:rsidRDefault="008609DA" w:rsidP="004E7EA4">
                  <w:pPr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7A9C6" w14:textId="77777777" w:rsidR="008609DA" w:rsidRPr="0061591A" w:rsidRDefault="008609DA" w:rsidP="004E7EA4">
                  <w:pPr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43FA27AE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2BBC0" w14:textId="77777777" w:rsidR="008609DA" w:rsidRPr="0094641D" w:rsidRDefault="008609DA" w:rsidP="004E7EA4">
                  <w:pPr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9A19F" w14:textId="77777777" w:rsidR="008609DA" w:rsidRPr="0061591A" w:rsidRDefault="00405269" w:rsidP="004E7EA4">
                  <w:pPr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6ED10CA9" w14:textId="77777777" w:rsidR="008609DA" w:rsidRPr="0061591A" w:rsidRDefault="008609DA" w:rsidP="004E7EA4">
            <w:pPr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8609DA" w:rsidRPr="0061591A" w14:paraId="54743D08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F900D" w14:textId="77777777" w:rsidR="008609DA" w:rsidRPr="0061591A" w:rsidRDefault="008609DA" w:rsidP="004E7EA4">
                  <w:pPr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628B3" w14:textId="77777777" w:rsidR="008609DA" w:rsidRPr="0061591A" w:rsidRDefault="008609DA" w:rsidP="004E7EA4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2837DA0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64C3A" w14:textId="77777777" w:rsidR="008609DA" w:rsidRPr="0061591A" w:rsidRDefault="008609DA" w:rsidP="004E7EA4">
                  <w:pPr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70B43" w14:textId="77777777" w:rsidR="008609DA" w:rsidRPr="0061591A" w:rsidRDefault="008609DA" w:rsidP="004E7EA4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1D4C62C4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47D2A" w14:textId="77777777" w:rsidR="008609DA" w:rsidRPr="0061591A" w:rsidRDefault="008609DA" w:rsidP="004E7EA4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26B56" w14:textId="77777777" w:rsidR="008609DA" w:rsidRPr="0061591A" w:rsidRDefault="008609DA" w:rsidP="004E7EA4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75BD3C" w14:textId="77777777" w:rsidR="008609DA" w:rsidRPr="0061591A" w:rsidRDefault="008609DA" w:rsidP="004E7EA4">
            <w:pPr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06C10BC" w14:textId="77777777" w:rsidR="00312309" w:rsidRPr="004E7EA4" w:rsidRDefault="00312309" w:rsidP="004E7EA4">
      <w:pPr>
        <w:spacing w:before="120" w:after="120"/>
        <w:ind w:left="-540"/>
        <w:rPr>
          <w:rFonts w:ascii="Arial" w:hAnsi="Arial" w:cs="Arial"/>
          <w:sz w:val="20"/>
          <w:szCs w:val="20"/>
        </w:rPr>
      </w:pPr>
      <w:r w:rsidRPr="004E7EA4">
        <w:rPr>
          <w:rFonts w:ascii="Arial" w:hAnsi="Arial" w:cs="Arial"/>
          <w:sz w:val="20"/>
          <w:szCs w:val="20"/>
        </w:rPr>
        <w:t xml:space="preserve">Instructions: </w:t>
      </w:r>
    </w:p>
    <w:p w14:paraId="0CCACEF2" w14:textId="77777777" w:rsidR="00312309" w:rsidRPr="004E7EA4" w:rsidRDefault="00312309" w:rsidP="004E7EA4">
      <w:pPr>
        <w:pStyle w:val="ListParagraph"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4E7EA4">
        <w:rPr>
          <w:rFonts w:ascii="Arial" w:hAnsi="Arial" w:cs="Arial"/>
          <w:sz w:val="20"/>
          <w:szCs w:val="20"/>
        </w:rPr>
        <w:t>Please fill out the section above as indicated.</w:t>
      </w:r>
    </w:p>
    <w:p w14:paraId="5B71DACD" w14:textId="65F04E8D" w:rsidR="00312309" w:rsidRPr="004E7EA4" w:rsidRDefault="00312309" w:rsidP="004E7EA4">
      <w:pPr>
        <w:pStyle w:val="ListParagraph"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4E7EA4">
        <w:rPr>
          <w:rFonts w:ascii="Arial" w:hAnsi="Arial" w:cs="Arial"/>
          <w:sz w:val="20"/>
          <w:szCs w:val="20"/>
        </w:rPr>
        <w:t xml:space="preserve">Please refer back to the Consultation Letter under the “Attachments” section to view materials related to the proposed amended ISO rule </w:t>
      </w:r>
      <w:r w:rsidR="004E7EA4" w:rsidRPr="004E7EA4">
        <w:rPr>
          <w:rFonts w:ascii="Arial" w:hAnsi="Arial" w:cs="Arial"/>
          <w:sz w:val="20"/>
          <w:szCs w:val="20"/>
        </w:rPr>
        <w:t>Section 505.2, Performance Criteria for Refund of Generating Unit Owner's Contribution (“Section 505.2”)</w:t>
      </w:r>
    </w:p>
    <w:p w14:paraId="39E3CFDA" w14:textId="77777777" w:rsidR="00312309" w:rsidRPr="004E7EA4" w:rsidRDefault="00312309" w:rsidP="004E7EA4">
      <w:pPr>
        <w:pStyle w:val="ListParagraph"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4E7EA4">
        <w:rPr>
          <w:rFonts w:ascii="Arial" w:hAnsi="Arial" w:cs="Arial"/>
          <w:sz w:val="20"/>
          <w:szCs w:val="20"/>
        </w:rPr>
        <w:t xml:space="preserve">Please respond to the questions below and provide your specific comments(if any). Blank boxes will be interpreted as favourable comments.  </w:t>
      </w:r>
    </w:p>
    <w:p w14:paraId="73A9AED1" w14:textId="4214E45A" w:rsidR="008609DA" w:rsidRPr="00BB0607" w:rsidRDefault="00BB0607" w:rsidP="004E7EA4">
      <w:pPr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 w:rsidRPr="004E7EA4">
        <w:rPr>
          <w:rFonts w:ascii="Arial" w:hAnsi="Arial" w:cs="Arial"/>
          <w:b/>
          <w:i/>
          <w:sz w:val="20"/>
          <w:szCs w:val="20"/>
        </w:rPr>
        <w:t xml:space="preserve">The AESO is seeking comments from Stakeholders on the development of proposed amended ISO rule </w:t>
      </w:r>
      <w:r w:rsidR="004E7EA4" w:rsidRPr="004E7EA4">
        <w:rPr>
          <w:rFonts w:ascii="Arial" w:hAnsi="Arial" w:cs="Arial"/>
          <w:b/>
          <w:i/>
          <w:sz w:val="20"/>
          <w:szCs w:val="20"/>
        </w:rPr>
        <w:t>Section 505.2, Performance Criteria for Refund of Generating Unit Owner's Contribution (“Section 505.2”)</w:t>
      </w:r>
      <w:r w:rsidR="004E7EA4" w:rsidRPr="004E7EA4">
        <w:rPr>
          <w:rFonts w:ascii="Arial" w:hAnsi="Arial" w:cs="Arial"/>
          <w:b/>
          <w:i/>
          <w:sz w:val="20"/>
          <w:szCs w:val="20"/>
        </w:rPr>
        <w:t>,</w:t>
      </w:r>
      <w:r w:rsidRPr="004E7EA4">
        <w:rPr>
          <w:rFonts w:ascii="Arial" w:hAnsi="Arial" w:cs="Arial"/>
          <w:b/>
          <w:i/>
          <w:sz w:val="20"/>
          <w:szCs w:val="20"/>
        </w:rPr>
        <w:t xml:space="preserve"> with regard to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B37FC9" w:rsidRPr="00BC502D" w14:paraId="738E1C8C" w14:textId="77777777" w:rsidTr="00230FD4">
        <w:trPr>
          <w:cantSplit/>
          <w:tblHeader/>
        </w:trPr>
        <w:tc>
          <w:tcPr>
            <w:tcW w:w="540" w:type="dxa"/>
            <w:shd w:val="clear" w:color="auto" w:fill="365F91"/>
          </w:tcPr>
          <w:p w14:paraId="4FA472D9" w14:textId="77777777" w:rsidR="00B37FC9" w:rsidRPr="00FB0955" w:rsidRDefault="00B37FC9" w:rsidP="004E7EA4">
            <w:pPr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 w14:paraId="72D6D076" w14:textId="77777777" w:rsidR="00B37FC9" w:rsidRPr="00FB0955" w:rsidRDefault="00B37FC9" w:rsidP="004E7EA4">
            <w:pPr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7920" w:type="dxa"/>
            <w:shd w:val="clear" w:color="auto" w:fill="365F91"/>
          </w:tcPr>
          <w:p w14:paraId="360832B5" w14:textId="77777777" w:rsidR="00B37FC9" w:rsidRPr="00FB0955" w:rsidRDefault="00B37FC9" w:rsidP="004E7EA4">
            <w:pPr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B37FC9" w:rsidRPr="00BC502D" w14:paraId="37A2711B" w14:textId="77777777" w:rsidTr="00230FD4">
        <w:trPr>
          <w:cantSplit/>
          <w:trHeight w:val="864"/>
        </w:trPr>
        <w:tc>
          <w:tcPr>
            <w:tcW w:w="540" w:type="dxa"/>
          </w:tcPr>
          <w:p w14:paraId="2DEA1C0C" w14:textId="77777777" w:rsidR="00B37FC9" w:rsidRPr="00847D76" w:rsidRDefault="00B37FC9" w:rsidP="004E7EA4">
            <w:pPr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0942D580" w14:textId="7EF7B405" w:rsidR="00B37FC9" w:rsidRPr="00847D76" w:rsidRDefault="00B37FC9" w:rsidP="004E7EA4">
            <w:p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 w:rsidRPr="00847D76">
              <w:rPr>
                <w:rFonts w:ascii="Arial" w:hAnsi="Arial" w:cs="Arial"/>
                <w:sz w:val="20"/>
                <w:szCs w:val="20"/>
              </w:rPr>
              <w:t xml:space="preserve">Do you agree or disagree that the issue identified requires the development of proposed </w:t>
            </w:r>
            <w:r w:rsidRPr="004E7EA4">
              <w:rPr>
                <w:rFonts w:ascii="Arial" w:hAnsi="Arial" w:cs="Arial"/>
                <w:sz w:val="20"/>
                <w:szCs w:val="20"/>
              </w:rPr>
              <w:t>amended ISO</w:t>
            </w:r>
            <w:r w:rsidRPr="00847D76">
              <w:rPr>
                <w:rFonts w:ascii="Arial" w:hAnsi="Arial" w:cs="Arial"/>
                <w:sz w:val="20"/>
                <w:szCs w:val="20"/>
              </w:rPr>
              <w:t xml:space="preserve"> rule </w:t>
            </w:r>
            <w:r w:rsidR="004E7EA4">
              <w:rPr>
                <w:rFonts w:ascii="Arial" w:hAnsi="Arial" w:cs="Arial"/>
                <w:sz w:val="20"/>
                <w:szCs w:val="20"/>
              </w:rPr>
              <w:t>Section 505.2</w:t>
            </w:r>
            <w:r w:rsidRPr="00847D76">
              <w:rPr>
                <w:rFonts w:ascii="Arial" w:hAnsi="Arial" w:cs="Arial"/>
                <w:sz w:val="20"/>
                <w:szCs w:val="20"/>
              </w:rPr>
              <w:t xml:space="preserve">? Please comment. </w:t>
            </w:r>
          </w:p>
        </w:tc>
        <w:tc>
          <w:tcPr>
            <w:tcW w:w="7920" w:type="dxa"/>
            <w:shd w:val="clear" w:color="auto" w:fill="auto"/>
          </w:tcPr>
          <w:p w14:paraId="64053A82" w14:textId="77777777" w:rsidR="00B37FC9" w:rsidRPr="00BC502D" w:rsidRDefault="00B37FC9" w:rsidP="004E7E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FC9" w:rsidRPr="00BC502D" w14:paraId="5E35E5E4" w14:textId="77777777" w:rsidTr="00230FD4">
        <w:trPr>
          <w:cantSplit/>
          <w:trHeight w:val="864"/>
        </w:trPr>
        <w:tc>
          <w:tcPr>
            <w:tcW w:w="540" w:type="dxa"/>
          </w:tcPr>
          <w:p w14:paraId="6DD9F784" w14:textId="77777777" w:rsidR="00B37FC9" w:rsidRDefault="00B37FC9" w:rsidP="004E7EA4">
            <w:pPr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DF97392" w14:textId="3D09DF10" w:rsidR="00B37FC9" w:rsidRPr="00847D76" w:rsidRDefault="00B37FC9" w:rsidP="004E7EA4">
            <w:p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or disagree with the </w:t>
            </w:r>
            <w:r w:rsidRPr="00965834">
              <w:rPr>
                <w:rFonts w:ascii="Arial" w:hAnsi="Arial" w:cs="Arial"/>
                <w:sz w:val="20"/>
                <w:szCs w:val="20"/>
              </w:rPr>
              <w:t xml:space="preserve">potential objective or purpose of proposed </w:t>
            </w:r>
            <w:r w:rsidR="004E7EA4" w:rsidRPr="004E7EA4">
              <w:rPr>
                <w:rFonts w:ascii="Arial" w:hAnsi="Arial" w:cs="Arial"/>
                <w:sz w:val="20"/>
                <w:szCs w:val="20"/>
              </w:rPr>
              <w:t>amended ISO</w:t>
            </w:r>
            <w:r w:rsidR="004E7EA4" w:rsidRPr="00847D76">
              <w:rPr>
                <w:rFonts w:ascii="Arial" w:hAnsi="Arial" w:cs="Arial"/>
                <w:sz w:val="20"/>
                <w:szCs w:val="20"/>
              </w:rPr>
              <w:t xml:space="preserve"> rule </w:t>
            </w:r>
            <w:r w:rsidR="004E7EA4">
              <w:rPr>
                <w:rFonts w:ascii="Arial" w:hAnsi="Arial" w:cs="Arial"/>
                <w:sz w:val="20"/>
                <w:szCs w:val="20"/>
              </w:rPr>
              <w:t>Section 505.2</w:t>
            </w: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</w:rPr>
              <w:t>? Please comment.</w:t>
            </w:r>
          </w:p>
        </w:tc>
        <w:tc>
          <w:tcPr>
            <w:tcW w:w="7920" w:type="dxa"/>
            <w:shd w:val="clear" w:color="auto" w:fill="auto"/>
          </w:tcPr>
          <w:p w14:paraId="45D3822E" w14:textId="77777777" w:rsidR="00B37FC9" w:rsidRDefault="00B37FC9" w:rsidP="004E7EA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5F1379EE" w14:textId="77777777" w:rsidTr="00230FD4">
        <w:trPr>
          <w:cantSplit/>
          <w:trHeight w:val="864"/>
        </w:trPr>
        <w:tc>
          <w:tcPr>
            <w:tcW w:w="540" w:type="dxa"/>
          </w:tcPr>
          <w:p w14:paraId="54C14B18" w14:textId="77777777" w:rsidR="00B37FC9" w:rsidRDefault="00B37FC9" w:rsidP="004E7EA4">
            <w:pPr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66ACDCF" w14:textId="77777777" w:rsidR="00B37FC9" w:rsidRPr="00433B5B" w:rsidRDefault="00B37FC9" w:rsidP="004E7EA4">
            <w:p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form of consultation and timelines? Please comment.</w:t>
            </w:r>
          </w:p>
        </w:tc>
        <w:tc>
          <w:tcPr>
            <w:tcW w:w="7920" w:type="dxa"/>
            <w:shd w:val="clear" w:color="auto" w:fill="auto"/>
          </w:tcPr>
          <w:p w14:paraId="1A663BDE" w14:textId="77777777" w:rsidR="00B37FC9" w:rsidRDefault="00B37FC9" w:rsidP="004E7EA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015C8985" w14:textId="77777777" w:rsidTr="00B6097D">
        <w:trPr>
          <w:cantSplit/>
          <w:trHeight w:val="818"/>
        </w:trPr>
        <w:tc>
          <w:tcPr>
            <w:tcW w:w="540" w:type="dxa"/>
          </w:tcPr>
          <w:p w14:paraId="093987D7" w14:textId="77777777" w:rsidR="00B37FC9" w:rsidRDefault="00B37FC9" w:rsidP="004E7EA4">
            <w:pPr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F1CF78D" w14:textId="77777777" w:rsidR="00B37FC9" w:rsidRPr="00433B5B" w:rsidRDefault="00B37FC9" w:rsidP="004E7EA4">
            <w:p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intend to participate in any related consultation? </w:t>
            </w:r>
            <w:r w:rsidRPr="00773418"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Do you agree that no consultation group is required for this rule development? Please comment.</w:t>
            </w:r>
          </w:p>
        </w:tc>
        <w:tc>
          <w:tcPr>
            <w:tcW w:w="7920" w:type="dxa"/>
            <w:shd w:val="clear" w:color="auto" w:fill="auto"/>
          </w:tcPr>
          <w:p w14:paraId="1551E21F" w14:textId="77777777" w:rsidR="00B37FC9" w:rsidRDefault="00B37FC9" w:rsidP="004E7EA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3DCF9263" w14:textId="77777777" w:rsidTr="00230FD4">
        <w:trPr>
          <w:cantSplit/>
          <w:trHeight w:val="864"/>
        </w:trPr>
        <w:tc>
          <w:tcPr>
            <w:tcW w:w="540" w:type="dxa"/>
          </w:tcPr>
          <w:p w14:paraId="56146704" w14:textId="77777777" w:rsidR="00B37FC9" w:rsidRDefault="00B37FC9" w:rsidP="004E7EA4">
            <w:pPr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67C0EB07" w14:textId="77777777" w:rsidR="00B37FC9" w:rsidRPr="00433B5B" w:rsidRDefault="00B37FC9" w:rsidP="004E7EA4">
            <w:pPr>
              <w:spacing w:before="120" w:after="120"/>
              <w:ind w:left="42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 w14:paraId="6F056A65" w14:textId="77777777" w:rsidR="00B37FC9" w:rsidRDefault="00B37FC9" w:rsidP="004E7EA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F2FB6CE" w14:textId="77777777" w:rsidR="00CB5BA6" w:rsidRDefault="00CB5BA6" w:rsidP="004E7EA4">
      <w:pPr>
        <w:ind w:left="-630"/>
        <w:rPr>
          <w:rFonts w:ascii="Arial" w:hAnsi="Arial" w:cs="Arial"/>
          <w:sz w:val="20"/>
          <w:szCs w:val="20"/>
        </w:rPr>
      </w:pPr>
    </w:p>
    <w:p w14:paraId="4484EAAE" w14:textId="77777777" w:rsidR="00C42290" w:rsidRDefault="00C42290" w:rsidP="004E7EA4">
      <w:pPr>
        <w:ind w:left="-630"/>
        <w:rPr>
          <w:rFonts w:ascii="Arial" w:hAnsi="Arial" w:cs="Arial"/>
          <w:sz w:val="20"/>
          <w:szCs w:val="20"/>
        </w:rPr>
      </w:pPr>
    </w:p>
    <w:sectPr w:rsidR="00C42290" w:rsidSect="009317DB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2023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8730" w14:textId="77777777" w:rsidR="00B35A85" w:rsidRDefault="00B35A85" w:rsidP="00E77EC5">
      <w:r>
        <w:separator/>
      </w:r>
    </w:p>
  </w:endnote>
  <w:endnote w:type="continuationSeparator" w:id="0">
    <w:p w14:paraId="4BEE8711" w14:textId="77777777" w:rsidR="00B35A85" w:rsidRDefault="00B35A8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23F3" w14:textId="731705BF"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 w:rsidRPr="009317DB">
      <w:rPr>
        <w:rFonts w:ascii="Arial" w:hAnsi="Arial" w:cs="Arial"/>
        <w:sz w:val="18"/>
        <w:szCs w:val="18"/>
      </w:rPr>
      <w:t>Comment</w:t>
    </w:r>
    <w:r w:rsidRPr="009317DB">
      <w:rPr>
        <w:rFonts w:ascii="Arial" w:hAnsi="Arial" w:cs="Arial"/>
        <w:sz w:val="18"/>
        <w:szCs w:val="18"/>
      </w:rPr>
      <w:t xml:space="preserve">: </w:t>
    </w:r>
    <w:r w:rsidR="009317DB" w:rsidRPr="009317DB">
      <w:rPr>
        <w:rFonts w:ascii="Arial" w:hAnsi="Arial" w:cs="Arial"/>
        <w:sz w:val="18"/>
        <w:szCs w:val="18"/>
      </w:rPr>
      <w:t>August 6, 2020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618ED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618ED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DB56" w14:textId="77777777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042FA3">
      <w:rPr>
        <w:rFonts w:ascii="Arial" w:hAnsi="Arial" w:cs="Arial"/>
        <w:sz w:val="18"/>
        <w:szCs w:val="18"/>
        <w:highlight w:val="yellow"/>
      </w:rPr>
      <w:t>MM DD, YYYY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F7F6D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B6097D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BF9FD" w14:textId="77777777" w:rsidR="00B35A85" w:rsidRDefault="00B35A85" w:rsidP="00E77EC5">
      <w:r>
        <w:separator/>
      </w:r>
    </w:p>
  </w:footnote>
  <w:footnote w:type="continuationSeparator" w:id="0">
    <w:p w14:paraId="71AB3B1D" w14:textId="77777777" w:rsidR="00B35A85" w:rsidRDefault="00B35A8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2216" w14:textId="3A4D2F4A" w:rsidR="002755AE" w:rsidRDefault="009317DB" w:rsidP="00BD7A7B">
    <w:pPr>
      <w:pStyle w:val="Header"/>
      <w:jc w:val="right"/>
    </w:pPr>
    <w:r>
      <w:rPr>
        <w:rFonts w:ascii="Arial" w:hAnsi="Arial"/>
        <w:noProof/>
      </w:rPr>
      <w:drawing>
        <wp:anchor distT="0" distB="0" distL="114300" distR="114300" simplePos="0" relativeHeight="251658240" behindDoc="1" locked="0" layoutInCell="1" allowOverlap="1" wp14:anchorId="60D91C35" wp14:editId="3216A6A6">
          <wp:simplePos x="0" y="0"/>
          <wp:positionH relativeFrom="page">
            <wp:posOffset>-350520</wp:posOffset>
          </wp:positionH>
          <wp:positionV relativeFrom="page">
            <wp:posOffset>559941</wp:posOffset>
          </wp:positionV>
          <wp:extent cx="10058400" cy="1255395"/>
          <wp:effectExtent l="0" t="0" r="0" b="190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6F7F6D" w:rsidRPr="00173193" w14:paraId="4708678D" w14:textId="77777777" w:rsidTr="00B35A85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132B6370" w14:textId="7185EFCB" w:rsidR="006F7F6D" w:rsidRPr="00173193" w:rsidRDefault="006F7F6D" w:rsidP="00B35A85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 w:rsidR="009317DB">
            <w:rPr>
              <w:rFonts w:ascii="Arial" w:hAnsi="Arial"/>
              <w:b/>
              <w:color w:val="1F497D"/>
              <w:sz w:val="22"/>
              <w:szCs w:val="22"/>
            </w:rPr>
            <w:t>August 6, 2020</w:t>
          </w:r>
        </w:p>
        <w:p w14:paraId="02927112" w14:textId="7E8A9224" w:rsidR="006F7F6D" w:rsidRPr="00173193" w:rsidRDefault="006F7F6D" w:rsidP="00B35A85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 w:rsidRPr="009317DB">
            <w:rPr>
              <w:rFonts w:ascii="Arial" w:hAnsi="Arial"/>
              <w:b/>
              <w:color w:val="1F497D"/>
              <w:sz w:val="22"/>
              <w:szCs w:val="22"/>
            </w:rPr>
            <w:t xml:space="preserve">Amended ISO rule </w:t>
          </w:r>
          <w:r w:rsidR="009317DB" w:rsidRPr="009317DB">
            <w:rPr>
              <w:rFonts w:ascii="Arial" w:hAnsi="Arial"/>
              <w:b/>
              <w:color w:val="1F497D"/>
              <w:sz w:val="22"/>
              <w:szCs w:val="22"/>
            </w:rPr>
            <w:t>-</w:t>
          </w:r>
          <w:r w:rsidR="009317DB">
            <w:rPr>
              <w:rFonts w:ascii="Arial" w:hAnsi="Arial"/>
              <w:b/>
              <w:color w:val="1F497D"/>
              <w:sz w:val="22"/>
              <w:szCs w:val="22"/>
            </w:rPr>
            <w:t xml:space="preserve"> </w:t>
          </w:r>
          <w:r w:rsidR="009317DB" w:rsidRPr="009317DB">
            <w:rPr>
              <w:rFonts w:ascii="Arial" w:hAnsi="Arial"/>
              <w:b/>
              <w:color w:val="1F497D"/>
              <w:sz w:val="22"/>
              <w:szCs w:val="22"/>
            </w:rPr>
            <w:t xml:space="preserve">Section 505.2 of the ISO Rules, </w:t>
          </w:r>
          <w:r w:rsidR="009317DB" w:rsidRPr="009317DB">
            <w:rPr>
              <w:rFonts w:ascii="Arial" w:hAnsi="Arial"/>
              <w:b/>
              <w:i/>
              <w:iCs/>
              <w:color w:val="1F497D"/>
              <w:sz w:val="22"/>
              <w:szCs w:val="22"/>
            </w:rPr>
            <w:t>Performance Criteria for Refund of Generating Unit Owner's Contribution</w:t>
          </w:r>
        </w:p>
      </w:tc>
    </w:tr>
  </w:tbl>
  <w:p w14:paraId="287965EA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312309" w:rsidRPr="00173193" w14:paraId="6563BBC6" w14:textId="77777777" w:rsidTr="00173193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34C39146" w14:textId="6E23FA62" w:rsidR="00312309" w:rsidRPr="00173193" w:rsidRDefault="006618ED" w:rsidP="00173193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7216" behindDoc="1" locked="0" layoutInCell="1" allowOverlap="1" wp14:anchorId="041C1A2A" wp14:editId="4CB8F1E0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2309"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 w:rsidR="00312309" w:rsidRPr="00173193"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4DA8F249" w14:textId="77777777" w:rsidR="00312309" w:rsidRPr="00173193" w:rsidRDefault="00312309" w:rsidP="00173193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 w:rsidRPr="00173193"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3E27924A" w14:textId="77777777" w:rsidR="00312309" w:rsidRDefault="00312309" w:rsidP="00312309">
    <w:pPr>
      <w:rPr>
        <w:color w:val="1F497D"/>
        <w:sz w:val="12"/>
        <w:szCs w:val="12"/>
      </w:rPr>
    </w:pPr>
    <w:r w:rsidRPr="00312309">
      <w:rPr>
        <w:color w:val="1F497D"/>
        <w:sz w:val="12"/>
        <w:szCs w:val="12"/>
      </w:rPr>
      <w:fldChar w:fldCharType="begin"/>
    </w:r>
    <w:r w:rsidRPr="00312309">
      <w:rPr>
        <w:color w:val="1F497D"/>
        <w:sz w:val="12"/>
        <w:szCs w:val="12"/>
      </w:rPr>
      <w:instrText xml:space="preserve"> COMMENTS  \* Caps  \* MERGEFORMAT </w:instrText>
    </w:r>
    <w:r w:rsidRPr="00312309">
      <w:rPr>
        <w:color w:val="1F497D"/>
        <w:sz w:val="12"/>
        <w:szCs w:val="12"/>
      </w:rPr>
      <w:fldChar w:fldCharType="end"/>
    </w:r>
  </w:p>
  <w:p w14:paraId="0F24084A" w14:textId="77777777" w:rsidR="00312309" w:rsidRPr="00312309" w:rsidRDefault="00312309" w:rsidP="00312309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9E0255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B0D"/>
    <w:rsid w:val="00047A8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60738"/>
    <w:rsid w:val="001631F0"/>
    <w:rsid w:val="00164E6F"/>
    <w:rsid w:val="001724F8"/>
    <w:rsid w:val="00173193"/>
    <w:rsid w:val="00180BF7"/>
    <w:rsid w:val="00183D00"/>
    <w:rsid w:val="00185DC3"/>
    <w:rsid w:val="00190831"/>
    <w:rsid w:val="00191574"/>
    <w:rsid w:val="001A566B"/>
    <w:rsid w:val="001C5D7B"/>
    <w:rsid w:val="001E00DD"/>
    <w:rsid w:val="001E67AD"/>
    <w:rsid w:val="001E6EC9"/>
    <w:rsid w:val="001F291A"/>
    <w:rsid w:val="00203333"/>
    <w:rsid w:val="00205264"/>
    <w:rsid w:val="00210553"/>
    <w:rsid w:val="002115D1"/>
    <w:rsid w:val="00211A16"/>
    <w:rsid w:val="002160D5"/>
    <w:rsid w:val="002221BD"/>
    <w:rsid w:val="00230FD4"/>
    <w:rsid w:val="00232B12"/>
    <w:rsid w:val="002576EB"/>
    <w:rsid w:val="00262462"/>
    <w:rsid w:val="00264D21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D5EE7"/>
    <w:rsid w:val="002E670E"/>
    <w:rsid w:val="002F6E69"/>
    <w:rsid w:val="002F7225"/>
    <w:rsid w:val="002F7CB0"/>
    <w:rsid w:val="0030108A"/>
    <w:rsid w:val="0030154F"/>
    <w:rsid w:val="00312309"/>
    <w:rsid w:val="00315175"/>
    <w:rsid w:val="0031543C"/>
    <w:rsid w:val="003302A7"/>
    <w:rsid w:val="00334FDA"/>
    <w:rsid w:val="00344963"/>
    <w:rsid w:val="00345614"/>
    <w:rsid w:val="00347CEC"/>
    <w:rsid w:val="00351C46"/>
    <w:rsid w:val="003528B4"/>
    <w:rsid w:val="00357C83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4BB"/>
    <w:rsid w:val="00426FF0"/>
    <w:rsid w:val="00430387"/>
    <w:rsid w:val="00433B5B"/>
    <w:rsid w:val="00444A72"/>
    <w:rsid w:val="00447116"/>
    <w:rsid w:val="004562D8"/>
    <w:rsid w:val="00461454"/>
    <w:rsid w:val="00471FF7"/>
    <w:rsid w:val="00481472"/>
    <w:rsid w:val="00487638"/>
    <w:rsid w:val="00491AB2"/>
    <w:rsid w:val="0049268A"/>
    <w:rsid w:val="00493CF2"/>
    <w:rsid w:val="004960CB"/>
    <w:rsid w:val="004B336C"/>
    <w:rsid w:val="004B4914"/>
    <w:rsid w:val="004C1E5F"/>
    <w:rsid w:val="004C650B"/>
    <w:rsid w:val="004D0BCE"/>
    <w:rsid w:val="004D31C9"/>
    <w:rsid w:val="004E7EA4"/>
    <w:rsid w:val="005020ED"/>
    <w:rsid w:val="00503E0C"/>
    <w:rsid w:val="00510A06"/>
    <w:rsid w:val="0051450C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7920"/>
    <w:rsid w:val="005824AA"/>
    <w:rsid w:val="005836D7"/>
    <w:rsid w:val="00587DC7"/>
    <w:rsid w:val="005A17A8"/>
    <w:rsid w:val="005A27D2"/>
    <w:rsid w:val="005A3930"/>
    <w:rsid w:val="005A7E4D"/>
    <w:rsid w:val="005E401A"/>
    <w:rsid w:val="005E5B6C"/>
    <w:rsid w:val="005F0559"/>
    <w:rsid w:val="006011E5"/>
    <w:rsid w:val="00611C57"/>
    <w:rsid w:val="0061591A"/>
    <w:rsid w:val="00617102"/>
    <w:rsid w:val="00627A8C"/>
    <w:rsid w:val="00631BB4"/>
    <w:rsid w:val="006561BA"/>
    <w:rsid w:val="0065624C"/>
    <w:rsid w:val="006613A4"/>
    <w:rsid w:val="0066167F"/>
    <w:rsid w:val="006618ED"/>
    <w:rsid w:val="006707FC"/>
    <w:rsid w:val="00673B09"/>
    <w:rsid w:val="006740DC"/>
    <w:rsid w:val="00677E30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6F7F6D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62A5"/>
    <w:rsid w:val="007A0CE2"/>
    <w:rsid w:val="007B2F90"/>
    <w:rsid w:val="007B6099"/>
    <w:rsid w:val="007B7EE9"/>
    <w:rsid w:val="007C2FDA"/>
    <w:rsid w:val="007C64CD"/>
    <w:rsid w:val="007D6192"/>
    <w:rsid w:val="007E20B6"/>
    <w:rsid w:val="007E3BC5"/>
    <w:rsid w:val="007F4941"/>
    <w:rsid w:val="007F5024"/>
    <w:rsid w:val="007F5F2F"/>
    <w:rsid w:val="008025D2"/>
    <w:rsid w:val="008067A8"/>
    <w:rsid w:val="00806CCE"/>
    <w:rsid w:val="00825D72"/>
    <w:rsid w:val="008260C3"/>
    <w:rsid w:val="0083123C"/>
    <w:rsid w:val="008344FD"/>
    <w:rsid w:val="00835FBA"/>
    <w:rsid w:val="00842FD3"/>
    <w:rsid w:val="008453F4"/>
    <w:rsid w:val="00847D76"/>
    <w:rsid w:val="00851DF1"/>
    <w:rsid w:val="008609DA"/>
    <w:rsid w:val="00867CE5"/>
    <w:rsid w:val="00884FF6"/>
    <w:rsid w:val="008A08B7"/>
    <w:rsid w:val="008A1DEA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17DB"/>
    <w:rsid w:val="009362A2"/>
    <w:rsid w:val="00950D4E"/>
    <w:rsid w:val="0095265D"/>
    <w:rsid w:val="009625CF"/>
    <w:rsid w:val="00965834"/>
    <w:rsid w:val="00967D2F"/>
    <w:rsid w:val="0097666D"/>
    <w:rsid w:val="009803C0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A01000"/>
    <w:rsid w:val="00A051AF"/>
    <w:rsid w:val="00A06F0D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4353"/>
    <w:rsid w:val="00A674AC"/>
    <w:rsid w:val="00A7577C"/>
    <w:rsid w:val="00A82AB6"/>
    <w:rsid w:val="00A82FED"/>
    <w:rsid w:val="00A84D7E"/>
    <w:rsid w:val="00A87202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5A85"/>
    <w:rsid w:val="00B37FC9"/>
    <w:rsid w:val="00B5223A"/>
    <w:rsid w:val="00B6097D"/>
    <w:rsid w:val="00B621E6"/>
    <w:rsid w:val="00B62675"/>
    <w:rsid w:val="00B717CF"/>
    <w:rsid w:val="00B749D9"/>
    <w:rsid w:val="00B83357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45B7"/>
    <w:rsid w:val="00C34B7C"/>
    <w:rsid w:val="00C42290"/>
    <w:rsid w:val="00C43A29"/>
    <w:rsid w:val="00C6023B"/>
    <w:rsid w:val="00C60D5F"/>
    <w:rsid w:val="00C737E5"/>
    <w:rsid w:val="00C75A8A"/>
    <w:rsid w:val="00C76D6A"/>
    <w:rsid w:val="00C85BFF"/>
    <w:rsid w:val="00CA5296"/>
    <w:rsid w:val="00CB5BA6"/>
    <w:rsid w:val="00CB6826"/>
    <w:rsid w:val="00CE00FB"/>
    <w:rsid w:val="00CE64C9"/>
    <w:rsid w:val="00CF3106"/>
    <w:rsid w:val="00D032CF"/>
    <w:rsid w:val="00D07332"/>
    <w:rsid w:val="00D10B21"/>
    <w:rsid w:val="00D15DA5"/>
    <w:rsid w:val="00D362EB"/>
    <w:rsid w:val="00D44EDF"/>
    <w:rsid w:val="00D527AB"/>
    <w:rsid w:val="00D61AA9"/>
    <w:rsid w:val="00D73D63"/>
    <w:rsid w:val="00D7482A"/>
    <w:rsid w:val="00D757E9"/>
    <w:rsid w:val="00D80BE1"/>
    <w:rsid w:val="00D95485"/>
    <w:rsid w:val="00D975A5"/>
    <w:rsid w:val="00DA2ACC"/>
    <w:rsid w:val="00DA357A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4D95"/>
    <w:rsid w:val="00E13386"/>
    <w:rsid w:val="00E15BD4"/>
    <w:rsid w:val="00E26E54"/>
    <w:rsid w:val="00E4142D"/>
    <w:rsid w:val="00E44D8B"/>
    <w:rsid w:val="00E530DF"/>
    <w:rsid w:val="00E64825"/>
    <w:rsid w:val="00E74D37"/>
    <w:rsid w:val="00E77EC5"/>
    <w:rsid w:val="00E84770"/>
    <w:rsid w:val="00E96B5F"/>
    <w:rsid w:val="00EA637B"/>
    <w:rsid w:val="00EC7DD1"/>
    <w:rsid w:val="00EE05B4"/>
    <w:rsid w:val="00EE176F"/>
    <w:rsid w:val="00EF165F"/>
    <w:rsid w:val="00F255D4"/>
    <w:rsid w:val="00F259A9"/>
    <w:rsid w:val="00F308D8"/>
    <w:rsid w:val="00F32E4B"/>
    <w:rsid w:val="00F35FFD"/>
    <w:rsid w:val="00F3732D"/>
    <w:rsid w:val="00F426F5"/>
    <w:rsid w:val="00F504A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0D7DB8D"/>
  <w15:docId w15:val="{872B104D-6C52-486B-970A-31992E9C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312309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312309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1271</Value>
      <Value>1529</Value>
      <Value>1348</Value>
      <Value>1683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 xsi:nil="true"/>
    <CWRMItemRecordVital xmlns="650fffc6-a86a-4844-afad-966e4497fd3d">false</CWRMItemRecordVital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RecordDeclaredDate xmlns="650fffc6-a86a-4844-afad-966e4497fd3d" xsi:nil="true"/>
    <CWRMItemUniqueId xmlns="650fffc6-a86a-4844-afad-966e4497fd3d">000000GVAD</CWRMItemUniqueId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Markets</TermName>
          <TermId xmlns="http://schemas.microsoft.com/office/infopath/2007/PartnerControls">15f241a2-070b-4f95-b89e-6f4a51567de7</TermId>
        </TermInfo>
      </Terms>
    </nc9abd60d2924b6a80e31aa92886dd82>
    <Requirement_x0020_Count xmlns="bfc2574c-8110-4e43-9784-1ee86de75c6c" xsi:nil="true"/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Tariff</TermName>
          <TermId xmlns="http://schemas.microsoft.com/office/infopath/2007/PartnerControls">9208e089-19e1-4475-a490-6755264ae35d</TermId>
        </TermInfo>
      </Terms>
    </n920abf613194d45b14af8191f159b16>
    <LARA_x0020_Status xmlns="bfc2574c-8110-4e43-9784-1ee86de75c6c">Active</LARA_x0020_Status>
    <_dlc_DocId xmlns="bfc2574c-8110-4e43-9784-1ee86de75c6c">000000GVAD</_dlc_DocId>
    <_dlc_DocIdUrl xmlns="bfc2574c-8110-4e43-9784-1ee86de75c6c">
      <Url>https://share.aeso.ca/sites/records-law/LARA/_layouts/15/DocIdRedir.aspx?ID=000000GVAD</Url>
      <Description>000000GVAD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97d6a0318c0aa186cf0d46f7b473fa77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1f59698cc81b75aff45e7637f359905f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2:Requirement_x0020_Count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5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Requirement_x0020_Count" ma:index="7" nillable="true" ma:displayName="Requirement Count" ma:internalName="Requirement_x0020_Count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238D-7926-4ED5-AA6F-835D1F6C6040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bfc2574c-8110-4e43-9784-1ee86de75c6c"/>
    <ds:schemaRef ds:uri="http://purl.org/dc/elements/1.1/"/>
    <ds:schemaRef ds:uri="650fffc6-a86a-4844-afad-966e4497fd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0C2F87-29A2-4444-94B5-3AA7F87FD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F763F-D145-48BD-ACB0-5BFFF0A866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6C6669-2BCB-4C98-8F54-8C56FA791E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9C4915-B710-4BA7-9DC1-4F5B7929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2574c-8110-4e43-9784-1ee86de75c6c"/>
    <ds:schemaRef ds:uri="650fffc6-a86a-4844-afad-966e4497f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97479A-505D-4A75-97D0-79CA67D70F19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D6DF756-0B93-4CF3-B73D-C338D533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227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Alison.Desmarais@aeso.ca</dc:creator>
  <cp:lastModifiedBy>Alison Desmarais</cp:lastModifiedBy>
  <cp:revision>4</cp:revision>
  <cp:lastPrinted>2011-06-15T22:57:00Z</cp:lastPrinted>
  <dcterms:created xsi:type="dcterms:W3CDTF">2020-08-05T18:38:00Z</dcterms:created>
  <dcterms:modified xsi:type="dcterms:W3CDTF">2020-08-05T19:19:00Z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DocumentDate">
    <vt:lpwstr/>
  </property>
  <property fmtid="{D5CDD505-2E9C-101B-9397-08002B2CF9AE}" pid="12" name="Confidentiality Classification">
    <vt:lpwstr>1271;#AESO Internal|fe2129cc-e616-4c1e-9a39-b6921e014562</vt:lpwstr>
  </property>
  <property fmtid="{D5CDD505-2E9C-101B-9397-08002B2CF9AE}" pid="13" name="CWRMItemRecordClassification">
    <vt:lpwstr>1322;#REG-01 - Rules Development|d8c07a69-2ac5-4b34-96d7-e1add9f5d27b</vt:lpwstr>
  </property>
  <property fmtid="{D5CDD505-2E9C-101B-9397-08002B2CF9AE}" pid="14" name="Related IDs">
    <vt:lpwstr/>
  </property>
  <property fmtid="{D5CDD505-2E9C-101B-9397-08002B2CF9AE}" pid="15" name="Division">
    <vt:lpwstr>1683;#Tariff|9208e089-19e1-4475-a490-6755264ae35d</vt:lpwstr>
  </property>
  <property fmtid="{D5CDD505-2E9C-101B-9397-08002B2CF9AE}" pid="16" name="Business Unit(s)">
    <vt:lpwstr>1529;#Markets|15f241a2-070b-4f95-b89e-6f4a51567de7</vt:lpwstr>
  </property>
  <property fmtid="{D5CDD505-2E9C-101B-9397-08002B2CF9AE}" pid="17" name="LARA Category0">
    <vt:lpwstr>1348;#Stakeholder Engagement|6220e8f1-840d-40ad-b65f-2194c8e12464</vt:lpwstr>
  </property>
  <property fmtid="{D5CDD505-2E9C-101B-9397-08002B2CF9AE}" pid="18" name="_dlc_DocIdItemGuid">
    <vt:lpwstr>b32b007d-cbb2-4324-95ff-9c7001383915</vt:lpwstr>
  </property>
</Properties>
</file>