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9929DF" w14:paraId="56E7C4EE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9929DF" w14:paraId="56E7C4DC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8" w14:textId="77777777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9" w14:textId="2A2C0DBF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24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A" w14:textId="77777777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B" w14:textId="77777777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April 15, 2021</w:t>
                  </w:r>
                </w:p>
              </w:tc>
            </w:tr>
            <w:tr w:rsidR="009929DF" w14:paraId="56E7C4DF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D" w14:textId="77777777" w:rsidR="009929DF" w:rsidRDefault="00E83581">
                  <w:pPr>
                    <w:keepNext/>
                    <w:tabs>
                      <w:tab w:val="left" w:pos="5140"/>
                    </w:tabs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DE" w14:textId="77777777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929DF" w14:paraId="56E7C4E2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0" w14:textId="77777777" w:rsidR="009929DF" w:rsidRDefault="00E83581">
                  <w:pPr>
                    <w:keepNext/>
                    <w:tabs>
                      <w:tab w:val="left" w:pos="5140"/>
                    </w:tabs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1" w14:textId="77777777" w:rsidR="009929DF" w:rsidRDefault="00E83581">
                  <w:pPr>
                    <w:keepNext/>
                    <w:tabs>
                      <w:tab w:val="left" w:pos="5140"/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56E7C4E3" w14:textId="77777777" w:rsidR="009929DF" w:rsidRDefault="009929DF">
            <w:pPr>
              <w:keepNext/>
              <w:tabs>
                <w:tab w:val="left" w:pos="5140"/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9929DF" w14:paraId="56E7C4E6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4" w14:textId="77777777" w:rsidR="009929DF" w:rsidRDefault="00E8358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5" w14:textId="77777777" w:rsidR="009929DF" w:rsidRDefault="00E8358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929DF" w14:paraId="56E7C4E9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7" w14:textId="77777777" w:rsidR="009929DF" w:rsidRDefault="00E8358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8" w14:textId="77777777" w:rsidR="009929DF" w:rsidRDefault="00E8358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929DF" w14:paraId="56E7C4EC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A" w14:textId="77777777" w:rsidR="009929DF" w:rsidRDefault="00E8358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C4EB" w14:textId="77777777" w:rsidR="009929DF" w:rsidRDefault="009929D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E7C4ED" w14:textId="77777777" w:rsidR="009929DF" w:rsidRDefault="00E8358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6E7C4EF" w14:textId="77777777" w:rsidR="009929DF" w:rsidRDefault="00E83581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56E7C4F0" w14:textId="77777777" w:rsidR="009929DF" w:rsidRDefault="00E83581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56E7C4F1" w14:textId="77777777" w:rsidR="009929DF" w:rsidRDefault="00E83581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</w:t>
      </w:r>
      <w:proofErr w:type="gramStart"/>
      <w:r>
        <w:rPr>
          <w:rFonts w:ascii="Arial" w:hAnsi="Arial" w:cs="Arial"/>
          <w:sz w:val="20"/>
          <w:szCs w:val="20"/>
        </w:rPr>
        <w:t>below, and</w:t>
      </w:r>
      <w:proofErr w:type="gramEnd"/>
      <w:r>
        <w:rPr>
          <w:rFonts w:ascii="Arial" w:hAnsi="Arial" w:cs="Arial"/>
          <w:sz w:val="20"/>
          <w:szCs w:val="20"/>
        </w:rPr>
        <w:t xml:space="preserve"> provide your specific comments and proposals (if any).</w:t>
      </w:r>
    </w:p>
    <w:p w14:paraId="56E7C4F2" w14:textId="77777777" w:rsidR="009929DF" w:rsidRDefault="00E83581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an estimate of cost and/or time savings associated with your specific comments and proposals (as applicable). </w:t>
      </w:r>
    </w:p>
    <w:p w14:paraId="56E7C4F3" w14:textId="77777777" w:rsidR="009929DF" w:rsidRDefault="00E83581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The AESO is seeking comments from Stakeholders on the development of propo</w:t>
      </w:r>
      <w:r>
        <w:rPr>
          <w:rFonts w:ascii="Arial" w:hAnsi="Arial" w:cs="Arial"/>
          <w:b/>
          <w:iCs/>
          <w:sz w:val="20"/>
          <w:szCs w:val="20"/>
        </w:rPr>
        <w:t xml:space="preserve">sed amended Section 103.3 </w:t>
      </w:r>
      <w:proofErr w:type="gramStart"/>
      <w:r>
        <w:rPr>
          <w:rFonts w:ascii="Arial" w:hAnsi="Arial" w:cs="Arial"/>
          <w:b/>
          <w:iCs/>
          <w:sz w:val="20"/>
          <w:szCs w:val="20"/>
        </w:rPr>
        <w:t>with regard to</w:t>
      </w:r>
      <w:proofErr w:type="gramEnd"/>
      <w:r>
        <w:rPr>
          <w:rFonts w:ascii="Arial" w:hAnsi="Arial" w:cs="Arial"/>
          <w:b/>
          <w:iCs/>
          <w:sz w:val="20"/>
          <w:szCs w:val="20"/>
        </w:rPr>
        <w:t xml:space="preserve"> the following matters:</w:t>
      </w:r>
    </w:p>
    <w:tbl>
      <w:tblPr>
        <w:tblW w:w="14419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4239"/>
        <w:gridCol w:w="5387"/>
        <w:gridCol w:w="4253"/>
      </w:tblGrid>
      <w:tr w:rsidR="009929DF" w14:paraId="56E7C4F8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56E7C4F4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365F91"/>
          </w:tcPr>
          <w:p w14:paraId="56E7C4F5" w14:textId="77777777" w:rsidR="009929DF" w:rsidRDefault="00E83581">
            <w:pPr>
              <w:widowControl w:val="0"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General Questions regarding the ISO Rule Development</w:t>
            </w:r>
          </w:p>
        </w:tc>
        <w:tc>
          <w:tcPr>
            <w:tcW w:w="5387" w:type="dxa"/>
            <w:shd w:val="clear" w:color="auto" w:fill="365F91"/>
          </w:tcPr>
          <w:p w14:paraId="56E7C4F6" w14:textId="77777777" w:rsidR="009929DF" w:rsidRDefault="00E83581">
            <w:pPr>
              <w:widowControl w:val="0"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Proposal</w:t>
            </w:r>
          </w:p>
        </w:tc>
        <w:tc>
          <w:tcPr>
            <w:tcW w:w="4253" w:type="dxa"/>
            <w:shd w:val="clear" w:color="auto" w:fill="365F91"/>
          </w:tcPr>
          <w:p w14:paraId="56E7C4F7" w14:textId="77777777" w:rsidR="009929DF" w:rsidRDefault="00E83581">
            <w:pPr>
              <w:widowControl w:val="0"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Cost and/or time savings estimate</w:t>
            </w:r>
          </w:p>
        </w:tc>
      </w:tr>
      <w:tr w:rsidR="009929DF" w14:paraId="56E7C4FD" w14:textId="77777777">
        <w:trPr>
          <w:cantSplit/>
          <w:trHeight w:val="540"/>
        </w:trPr>
        <w:tc>
          <w:tcPr>
            <w:tcW w:w="540" w:type="dxa"/>
          </w:tcPr>
          <w:p w14:paraId="56E7C4F9" w14:textId="77777777" w:rsidR="009929DF" w:rsidRDefault="009929DF">
            <w:pPr>
              <w:widowControl w:val="0"/>
              <w:numPr>
                <w:ilvl w:val="0"/>
                <w:numId w:val="19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</w:tcPr>
          <w:p w14:paraId="56E7C4FA" w14:textId="77777777" w:rsidR="009929DF" w:rsidRDefault="00E83581">
            <w:pPr>
              <w:widowControl w:val="0"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that the issue and purpose identified in the letter of notice? Please comment. </w:t>
            </w:r>
          </w:p>
        </w:tc>
        <w:tc>
          <w:tcPr>
            <w:tcW w:w="5387" w:type="dxa"/>
          </w:tcPr>
          <w:p w14:paraId="56E7C4FB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6E7C4FC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29DF" w14:paraId="56E7C502" w14:textId="77777777">
        <w:trPr>
          <w:cantSplit/>
          <w:trHeight w:val="58"/>
        </w:trPr>
        <w:tc>
          <w:tcPr>
            <w:tcW w:w="540" w:type="dxa"/>
          </w:tcPr>
          <w:p w14:paraId="56E7C4FE" w14:textId="77777777" w:rsidR="009929DF" w:rsidRDefault="009929DF">
            <w:pPr>
              <w:widowControl w:val="0"/>
              <w:numPr>
                <w:ilvl w:val="0"/>
                <w:numId w:val="19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</w:tcPr>
          <w:p w14:paraId="56E7C4FF" w14:textId="77777777" w:rsidR="009929DF" w:rsidRDefault="00E83581">
            <w:pPr>
              <w:widowControl w:val="0"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consultation and timelines? Please comment.</w:t>
            </w:r>
          </w:p>
        </w:tc>
        <w:tc>
          <w:tcPr>
            <w:tcW w:w="5387" w:type="dxa"/>
          </w:tcPr>
          <w:p w14:paraId="56E7C500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6E7C501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29DF" w14:paraId="56E7C507" w14:textId="77777777">
        <w:trPr>
          <w:cantSplit/>
          <w:trHeight w:val="194"/>
        </w:trPr>
        <w:tc>
          <w:tcPr>
            <w:tcW w:w="540" w:type="dxa"/>
          </w:tcPr>
          <w:p w14:paraId="56E7C503" w14:textId="77777777" w:rsidR="009929DF" w:rsidRDefault="009929DF">
            <w:pPr>
              <w:widowControl w:val="0"/>
              <w:numPr>
                <w:ilvl w:val="0"/>
                <w:numId w:val="19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</w:tcPr>
          <w:p w14:paraId="56E7C504" w14:textId="77777777" w:rsidR="009929DF" w:rsidRDefault="00E83581">
            <w:pPr>
              <w:widowControl w:val="0"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recommended amendments to the proposed amended Section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103.3.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56E7C505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6E7C506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29DF" w14:paraId="56E7C50C" w14:textId="77777777">
        <w:trPr>
          <w:cantSplit/>
          <w:trHeight w:val="58"/>
        </w:trPr>
        <w:tc>
          <w:tcPr>
            <w:tcW w:w="540" w:type="dxa"/>
          </w:tcPr>
          <w:p w14:paraId="56E7C508" w14:textId="77777777" w:rsidR="009929DF" w:rsidRDefault="009929DF">
            <w:pPr>
              <w:widowControl w:val="0"/>
              <w:numPr>
                <w:ilvl w:val="0"/>
                <w:numId w:val="19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</w:tcPr>
          <w:p w14:paraId="56E7C509" w14:textId="77777777" w:rsidR="009929DF" w:rsidRDefault="00E83581">
            <w:pPr>
              <w:widowControl w:val="0"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5387" w:type="dxa"/>
          </w:tcPr>
          <w:p w14:paraId="56E7C50A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6E7C50B" w14:textId="77777777" w:rsidR="009929DF" w:rsidRDefault="009929DF">
            <w:pPr>
              <w:widowControl w:val="0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6E7C50D" w14:textId="77777777" w:rsidR="009929DF" w:rsidRDefault="009929DF">
      <w:pPr>
        <w:keepNext/>
        <w:spacing w:after="240"/>
        <w:ind w:left="-630"/>
        <w:rPr>
          <w:rFonts w:ascii="Arial" w:hAnsi="Arial" w:cs="Arial"/>
          <w:sz w:val="20"/>
          <w:szCs w:val="20"/>
        </w:rPr>
      </w:pPr>
    </w:p>
    <w:sectPr w:rsidR="009929DF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 w:code="1"/>
      <w:pgMar w:top="156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C510" w14:textId="77777777" w:rsidR="009929DF" w:rsidRDefault="00E83581">
      <w:r>
        <w:separator/>
      </w:r>
    </w:p>
  </w:endnote>
  <w:endnote w:type="continuationSeparator" w:id="0">
    <w:p w14:paraId="56E7C511" w14:textId="77777777" w:rsidR="009929DF" w:rsidRDefault="00E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C514" w14:textId="52C9173B" w:rsidR="009929DF" w:rsidRDefault="00E83581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Comment: March 24</w:t>
    </w:r>
    <w:r>
      <w:rPr>
        <w:rFonts w:ascii="Arial" w:hAnsi="Arial" w:cs="Arial"/>
        <w:sz w:val="18"/>
        <w:szCs w:val="18"/>
      </w:rPr>
      <w:t>, 2021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C51A" w14:textId="77777777" w:rsidR="009929DF" w:rsidRDefault="00E83581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7C50E" w14:textId="77777777" w:rsidR="009929DF" w:rsidRDefault="00E83581">
      <w:r>
        <w:separator/>
      </w:r>
    </w:p>
  </w:footnote>
  <w:footnote w:type="continuationSeparator" w:id="0">
    <w:p w14:paraId="56E7C50F" w14:textId="77777777" w:rsidR="009929DF" w:rsidRDefault="00E8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C512" w14:textId="77777777" w:rsidR="009929DF" w:rsidRDefault="00E83581">
    <w:pPr>
      <w:pStyle w:val="Header"/>
      <w:tabs>
        <w:tab w:val="clear" w:pos="4320"/>
        <w:tab w:val="clear" w:pos="8640"/>
      </w:tabs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noProof/>
      </w:rPr>
      <w:drawing>
        <wp:anchor distT="0" distB="0" distL="114300" distR="114300" simplePos="0" relativeHeight="251684352" behindDoc="1" locked="0" layoutInCell="1" allowOverlap="1" wp14:anchorId="56E7C51B" wp14:editId="56E7C5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1255395"/>
          <wp:effectExtent l="0" t="0" r="0" b="1905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1F497D"/>
        <w:sz w:val="22"/>
        <w:szCs w:val="22"/>
      </w:rPr>
      <w:t>Stakeholder Comment Matrix</w:t>
    </w:r>
  </w:p>
  <w:p w14:paraId="56E7C513" w14:textId="77777777" w:rsidR="009929DF" w:rsidRDefault="00E83581">
    <w:pPr>
      <w:pStyle w:val="Header"/>
      <w:tabs>
        <w:tab w:val="clear" w:pos="4320"/>
      </w:tabs>
      <w:spacing w:before="120"/>
      <w:rPr>
        <w:rFonts w:ascii="Arial" w:hAnsi="Arial"/>
        <w:b/>
        <w:color w:val="1F497D"/>
        <w:sz w:val="22"/>
        <w:szCs w:val="22"/>
      </w:rPr>
    </w:pPr>
    <w:r>
      <w:rPr>
        <w:rFonts w:ascii="Arial" w:hAnsi="Arial"/>
        <w:b/>
        <w:color w:val="1F497D"/>
        <w:sz w:val="22"/>
        <w:szCs w:val="22"/>
      </w:rPr>
      <w:t xml:space="preserve">Development of Proposed Amended Section 103.3 of the ISO Rules, </w:t>
    </w:r>
    <w:r>
      <w:rPr>
        <w:rFonts w:ascii="Arial" w:hAnsi="Arial"/>
        <w:b/>
        <w:i/>
        <w:iCs/>
        <w:color w:val="1F497D"/>
        <w:sz w:val="22"/>
        <w:szCs w:val="22"/>
      </w:rPr>
      <w:t>Financial Security Requirements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9929DF" w14:paraId="56E7C517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56E7C515" w14:textId="77777777" w:rsidR="009929DF" w:rsidRDefault="00E83581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56E7C51D" wp14:editId="56E7C51E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56E7C516" w14:textId="77777777" w:rsidR="009929DF" w:rsidRDefault="00E83581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56E7C518" w14:textId="77777777" w:rsidR="009929DF" w:rsidRDefault="00E83581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56E7C519" w14:textId="77777777" w:rsidR="009929DF" w:rsidRDefault="009929DF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046D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D5619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B2F40CD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7"/>
  </w:num>
  <w:num w:numId="8">
    <w:abstractNumId w:val="0"/>
  </w:num>
  <w:num w:numId="9">
    <w:abstractNumId w:val="16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20"/>
  </w:num>
  <w:num w:numId="17">
    <w:abstractNumId w:val="1"/>
  </w:num>
  <w:num w:numId="18">
    <w:abstractNumId w:val="7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DF"/>
    <w:rsid w:val="009929DF"/>
    <w:rsid w:val="00E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6E7C4D8"/>
  <w15:docId w15:val="{700028CA-A1BB-4252-9B14-3B09AB3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1936</Value>
      <Value>1271</Value>
      <Value>1899</Value>
      <Value>1348</Value>
      <Value>1601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000000N5O4</CWRMItemUniqueId>
    <_dlc_DocId xmlns="bfc2574c-8110-4e43-9784-1ee86de75c6c">000000N5O4</_dlc_DocId>
    <_dlc_DocIdUrl xmlns="bfc2574c-8110-4e43-9784-1ee86de75c6c">
      <Url>https://share.aeso.ca/sites/records-law/LARA/_layouts/15/DocIdRedir.aspx?ID=000000N5O4</Url>
      <Description>000000N5O4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e837ea3c-5f2d-4b84-a69e-89cce334732f</TermId>
        </TermInfo>
      </Terms>
    </nc9abd60d2924b6a80e31aa92886dd82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103.3 Financial Security Requirements</TermName>
          <TermId xmlns="http://schemas.microsoft.com/office/infopath/2007/PartnerControls">65e12d5e-4c28-45f0-81ef-e3dbcea7d02c</TermId>
        </TermInfo>
      </Terms>
    </k64467115e4948f8a6ae90544ba894f6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Settlement Credit and Business Planning</TermName>
          <TermId xmlns="http://schemas.microsoft.com/office/infopath/2007/PartnerControls">7556794b-dd5c-400b-ae7e-838ee8750bd0</TermId>
        </TermInfo>
      </Terms>
    </n920abf613194d45b14af8191f159b16>
    <LARA_x0020_Status xmlns="bfc2574c-8110-4e43-9784-1ee86de75c6c">Active</LARA_x0020_Statu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1" ma:contentTypeDescription="" ma:contentTypeScope="" ma:versionID="b7e794cbbf1ce57c7df993fddad12686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c330eb1e46fc3bfab56c7c130fec5e8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Props1.xml><?xml version="1.0" encoding="utf-8"?>
<ds:datastoreItem xmlns:ds="http://schemas.openxmlformats.org/officeDocument/2006/customXml" ds:itemID="{550C2F87-29A2-4444-94B5-3AA7F87FD707}"/>
</file>

<file path=customXml/itemProps2.xml><?xml version="1.0" encoding="utf-8"?>
<ds:datastoreItem xmlns:ds="http://schemas.openxmlformats.org/officeDocument/2006/customXml" ds:itemID="{FB0B4E3B-57C4-4EEE-91A8-89FDBC723863}"/>
</file>

<file path=customXml/itemProps3.xml><?xml version="1.0" encoding="utf-8"?>
<ds:datastoreItem xmlns:ds="http://schemas.openxmlformats.org/officeDocument/2006/customXml" ds:itemID="{4E97479A-505D-4A75-97D0-79CA67D70F19}"/>
</file>

<file path=customXml/itemProps4.xml><?xml version="1.0" encoding="utf-8"?>
<ds:datastoreItem xmlns:ds="http://schemas.openxmlformats.org/officeDocument/2006/customXml" ds:itemID="{4CAE6720-E6BB-4C1D-AB9F-F979E35E9D7F}"/>
</file>

<file path=customXml/itemProps5.xml><?xml version="1.0" encoding="utf-8"?>
<ds:datastoreItem xmlns:ds="http://schemas.openxmlformats.org/officeDocument/2006/customXml" ds:itemID="{B64B238D-7926-4ED5-AA6F-835D1F6C6040}"/>
</file>

<file path=customXml/itemProps6.xml><?xml version="1.0" encoding="utf-8"?>
<ds:datastoreItem xmlns:ds="http://schemas.openxmlformats.org/officeDocument/2006/customXml" ds:itemID="{04384414-E2F7-4FAC-BF4E-A12F0F058AAE}"/>
</file>

<file path=customXml/itemProps7.xml><?xml version="1.0" encoding="utf-8"?>
<ds:datastoreItem xmlns:ds="http://schemas.openxmlformats.org/officeDocument/2006/customXml" ds:itemID="{2010520D-5638-41EC-958B-7886D4375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Alison.Desmarais@aeso.ca</dc:creator>
  <cp:lastModifiedBy>Melissa Mitchell-Moisson</cp:lastModifiedBy>
  <cp:revision>10</cp:revision>
  <cp:lastPrinted>2011-06-15T22:57:00Z</cp:lastPrinted>
  <dcterms:created xsi:type="dcterms:W3CDTF">2021-02-03T15:55:00Z</dcterms:created>
  <dcterms:modified xsi:type="dcterms:W3CDTF">2021-03-24T16:00:00Z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CWRMItemRecordClassification">
    <vt:lpwstr>1322;#REG-01 - Rules Development|d8c07a69-2ac5-4b34-96d7-e1add9f5d27b</vt:lpwstr>
  </property>
  <property fmtid="{D5CDD505-2E9C-101B-9397-08002B2CF9AE}" pid="14" name="_dlc_DocIdItemGuid">
    <vt:lpwstr>c1fb2604-642d-4fb6-998d-64c50feda354</vt:lpwstr>
  </property>
  <property fmtid="{D5CDD505-2E9C-101B-9397-08002B2CF9AE}" pid="15" name="Related ADs">
    <vt:lpwstr>1899;#Section 103.3 Financial Security Requirements|65e12d5e-4c28-45f0-81ef-e3dbcea7d02c</vt:lpwstr>
  </property>
  <property fmtid="{D5CDD505-2E9C-101B-9397-08002B2CF9AE}" pid="16" name="Related IDs">
    <vt:lpwstr/>
  </property>
  <property fmtid="{D5CDD505-2E9C-101B-9397-08002B2CF9AE}" pid="17" name="Division">
    <vt:lpwstr>1936;#Settlement Credit and Business Planning|7556794b-dd5c-400b-ae7e-838ee8750bd0</vt:lpwstr>
  </property>
  <property fmtid="{D5CDD505-2E9C-101B-9397-08002B2CF9AE}" pid="18" name="LARA Category0">
    <vt:lpwstr>1348;#Stakeholder Engagement|6220e8f1-840d-40ad-b65f-2194c8e12464</vt:lpwstr>
  </property>
  <property fmtid="{D5CDD505-2E9C-101B-9397-08002B2CF9AE}" pid="19" name="Business Unit(s)">
    <vt:lpwstr>1601;#Finance|e837ea3c-5f2d-4b84-a69e-89cce334732f</vt:lpwstr>
  </property>
  <property fmtid="{D5CDD505-2E9C-101B-9397-08002B2CF9AE}" pid="20" name="Related Definition">
    <vt:lpwstr/>
  </property>
  <property fmtid="{D5CDD505-2E9C-101B-9397-08002B2CF9AE}" pid="21" name="i25e9ceaa7c2448f9c5e0f14e0ef915a">
    <vt:lpwstr/>
  </property>
</Properties>
</file>